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4BB3D" w14:textId="77777777" w:rsidR="00802CCB" w:rsidRDefault="00802CCB" w:rsidP="00DE42F0">
      <w:pPr>
        <w:pStyle w:val="Heading1"/>
      </w:pPr>
      <w:bookmarkStart w:id="0" w:name="_Toc156284412"/>
      <w:r>
        <w:t xml:space="preserve">Submission – </w:t>
      </w:r>
      <w:r w:rsidR="00F36380">
        <w:t>Royal Commission into Violence, Abuse, Neglect and Exploitation of People with Disability</w:t>
      </w:r>
      <w:bookmarkEnd w:id="0"/>
    </w:p>
    <w:p w14:paraId="2456F501" w14:textId="7EB96231" w:rsidR="454D4B64" w:rsidRDefault="00802CCB" w:rsidP="00802CCB">
      <w:pPr>
        <w:pStyle w:val="Heading2"/>
      </w:pPr>
      <w:bookmarkStart w:id="1" w:name="_Toc156284413"/>
      <w:r>
        <w:t>Australian Government Response</w:t>
      </w:r>
      <w:bookmarkEnd w:id="1"/>
      <w:r w:rsidR="454D4B64" w:rsidRPr="00A17FCC">
        <w:t xml:space="preserve"> </w:t>
      </w:r>
    </w:p>
    <w:p w14:paraId="15F8104D" w14:textId="589F5973" w:rsidR="00F36380" w:rsidRPr="00F36380" w:rsidRDefault="00F36380" w:rsidP="00F36380">
      <w:pPr>
        <w:pStyle w:val="Heading2"/>
        <w:rPr>
          <w:rStyle w:val="Heading3Char"/>
        </w:rPr>
      </w:pPr>
    </w:p>
    <w:p w14:paraId="083AB532" w14:textId="7324C2E6" w:rsidR="1DD8734C" w:rsidRDefault="1DD8734C" w:rsidP="00DE42F0"/>
    <w:p w14:paraId="2F34FAF0" w14:textId="445A2FFE" w:rsidR="1DD8734C" w:rsidRDefault="1DD8734C" w:rsidP="00DE42F0"/>
    <w:p w14:paraId="119A9F5F" w14:textId="330633A8" w:rsidR="1DD8734C" w:rsidRDefault="1DD8734C" w:rsidP="00DE42F0"/>
    <w:p w14:paraId="457A09A7" w14:textId="0623578A" w:rsidR="1DD8734C" w:rsidRDefault="1DD8734C" w:rsidP="00DE42F0"/>
    <w:p w14:paraId="3594AD7E" w14:textId="217B2090" w:rsidR="454D4B64" w:rsidRDefault="454D4B64" w:rsidP="00DE42F0">
      <w:pPr>
        <w:rPr>
          <w:rFonts w:ascii="Calibri" w:hAnsi="Calibri" w:cs="Calibri"/>
          <w:sz w:val="24"/>
          <w:szCs w:val="24"/>
        </w:rPr>
      </w:pPr>
      <w:r>
        <w:rPr>
          <w:noProof/>
        </w:rPr>
        <w:drawing>
          <wp:inline distT="0" distB="0" distL="0" distR="0" wp14:anchorId="786381EB" wp14:editId="3DECC951">
            <wp:extent cx="5724524" cy="2790825"/>
            <wp:effectExtent l="0" t="0" r="0" b="0"/>
            <wp:docPr id="1149199195" name="Picture 1149199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4524" cy="2790825"/>
                    </a:xfrm>
                    <a:prstGeom prst="rect">
                      <a:avLst/>
                    </a:prstGeom>
                  </pic:spPr>
                </pic:pic>
              </a:graphicData>
            </a:graphic>
          </wp:inline>
        </w:drawing>
      </w:r>
    </w:p>
    <w:p w14:paraId="39D20C0D" w14:textId="66A9C45C" w:rsidR="1DD8734C" w:rsidRDefault="1DD8734C" w:rsidP="00DE42F0"/>
    <w:p w14:paraId="473D4CBE" w14:textId="2353203E" w:rsidR="1DD8734C" w:rsidRDefault="1DD8734C" w:rsidP="00DE42F0"/>
    <w:p w14:paraId="4C1AD087" w14:textId="2F901C53" w:rsidR="1DD8734C" w:rsidRDefault="1DD8734C" w:rsidP="00DE42F0"/>
    <w:p w14:paraId="54AA47B7" w14:textId="6BBDADA4" w:rsidR="1DD8734C" w:rsidRDefault="1DD8734C" w:rsidP="00DE42F0"/>
    <w:p w14:paraId="4DB5E4F8" w14:textId="0F42D5C7" w:rsidR="1DD8734C" w:rsidRDefault="00802CCB" w:rsidP="00DE42F0">
      <w:r>
        <w:t>Submitted to the Department of Social Services</w:t>
      </w:r>
    </w:p>
    <w:p w14:paraId="071EA6FC" w14:textId="50F21DB4" w:rsidR="1C1C1384" w:rsidRDefault="00F36380" w:rsidP="00DE42F0">
      <w:r>
        <w:t>January 2024</w:t>
      </w:r>
    </w:p>
    <w:p w14:paraId="7C3A10EB" w14:textId="3D1363B7" w:rsidR="1DD8734C" w:rsidRDefault="1DD8734C" w:rsidP="00DE42F0"/>
    <w:sdt>
      <w:sdtPr>
        <w:rPr>
          <w:rFonts w:asciiTheme="minorHAnsi" w:eastAsia="Calibri" w:hAnsiTheme="minorHAnsi" w:cstheme="minorHAnsi"/>
          <w:color w:val="000000" w:themeColor="text1"/>
          <w:sz w:val="22"/>
          <w:szCs w:val="22"/>
          <w:lang w:val="en-AU"/>
        </w:rPr>
        <w:id w:val="-506753217"/>
        <w:docPartObj>
          <w:docPartGallery w:val="Table of Contents"/>
          <w:docPartUnique/>
        </w:docPartObj>
      </w:sdtPr>
      <w:sdtEndPr>
        <w:rPr>
          <w:b/>
          <w:bCs/>
          <w:noProof/>
        </w:rPr>
      </w:sdtEndPr>
      <w:sdtContent>
        <w:p w14:paraId="4D558F01" w14:textId="09D35F17" w:rsidR="00F36380" w:rsidRDefault="00F36380">
          <w:pPr>
            <w:pStyle w:val="TOCHeading"/>
          </w:pPr>
          <w:r>
            <w:t>Contents</w:t>
          </w:r>
        </w:p>
        <w:p w14:paraId="4CD29230" w14:textId="5DF8AD9B" w:rsidR="00282589" w:rsidRDefault="00F36380">
          <w:pPr>
            <w:pStyle w:val="TOC1"/>
            <w:tabs>
              <w:tab w:val="right" w:leader="dot" w:pos="9350"/>
            </w:tabs>
            <w:rPr>
              <w:rFonts w:eastAsiaTheme="minorEastAsia" w:cstheme="minorBidi"/>
              <w:noProof/>
              <w:color w:val="auto"/>
              <w:kern w:val="2"/>
              <w:lang w:eastAsia="en-AU"/>
              <w14:ligatures w14:val="standardContextual"/>
            </w:rPr>
          </w:pPr>
          <w:r>
            <w:fldChar w:fldCharType="begin"/>
          </w:r>
          <w:r>
            <w:instrText xml:space="preserve"> TOC \o "1-3" \h \z \u </w:instrText>
          </w:r>
          <w:r>
            <w:fldChar w:fldCharType="separate"/>
          </w:r>
          <w:r w:rsidR="00741DB9">
            <w:rPr>
              <w:noProof/>
            </w:rPr>
            <w:fldChar w:fldCharType="begin"/>
          </w:r>
          <w:r w:rsidR="00741DB9">
            <w:rPr>
              <w:noProof/>
            </w:rPr>
            <w:instrText>HYPERLINK \l "_Toc156284414"</w:instrText>
          </w:r>
          <w:r w:rsidR="00741DB9">
            <w:rPr>
              <w:noProof/>
            </w:rPr>
          </w:r>
          <w:r w:rsidR="00741DB9">
            <w:rPr>
              <w:noProof/>
            </w:rPr>
            <w:fldChar w:fldCharType="separate"/>
          </w:r>
          <w:r w:rsidR="00282589" w:rsidRPr="00391674">
            <w:rPr>
              <w:rStyle w:val="Hyperlink"/>
              <w:noProof/>
            </w:rPr>
            <w:t>Introduction</w:t>
          </w:r>
          <w:r w:rsidR="00282589">
            <w:rPr>
              <w:noProof/>
              <w:webHidden/>
            </w:rPr>
            <w:tab/>
          </w:r>
          <w:r w:rsidR="00282589">
            <w:rPr>
              <w:noProof/>
              <w:webHidden/>
            </w:rPr>
            <w:fldChar w:fldCharType="begin"/>
          </w:r>
          <w:r w:rsidR="00282589">
            <w:rPr>
              <w:noProof/>
              <w:webHidden/>
            </w:rPr>
            <w:instrText xml:space="preserve"> PAGEREF _Toc156284414 \h </w:instrText>
          </w:r>
          <w:r w:rsidR="00282589">
            <w:rPr>
              <w:noProof/>
              <w:webHidden/>
            </w:rPr>
          </w:r>
          <w:r w:rsidR="00282589">
            <w:rPr>
              <w:noProof/>
              <w:webHidden/>
            </w:rPr>
            <w:fldChar w:fldCharType="separate"/>
          </w:r>
          <w:r w:rsidR="00741DB9">
            <w:rPr>
              <w:noProof/>
              <w:webHidden/>
            </w:rPr>
            <w:t>3</w:t>
          </w:r>
          <w:r w:rsidR="00282589">
            <w:rPr>
              <w:noProof/>
              <w:webHidden/>
            </w:rPr>
            <w:fldChar w:fldCharType="end"/>
          </w:r>
          <w:r w:rsidR="00741DB9">
            <w:rPr>
              <w:noProof/>
            </w:rPr>
            <w:fldChar w:fldCharType="end"/>
          </w:r>
        </w:p>
        <w:p w14:paraId="453F06E4" w14:textId="13480DEA" w:rsidR="00282589" w:rsidRDefault="00741DB9">
          <w:pPr>
            <w:pStyle w:val="TOC1"/>
            <w:tabs>
              <w:tab w:val="right" w:leader="dot" w:pos="9350"/>
            </w:tabs>
            <w:rPr>
              <w:rFonts w:eastAsiaTheme="minorEastAsia" w:cstheme="minorBidi"/>
              <w:noProof/>
              <w:color w:val="auto"/>
              <w:kern w:val="2"/>
              <w:lang w:eastAsia="en-AU"/>
              <w14:ligatures w14:val="standardContextual"/>
            </w:rPr>
          </w:pPr>
          <w:hyperlink w:anchor="_Toc156284415" w:history="1">
            <w:r w:rsidR="00282589" w:rsidRPr="00391674">
              <w:rPr>
                <w:rStyle w:val="Hyperlink"/>
                <w:noProof/>
              </w:rPr>
              <w:t>Disability Rights Act</w:t>
            </w:r>
            <w:r w:rsidR="00282589">
              <w:rPr>
                <w:noProof/>
                <w:webHidden/>
              </w:rPr>
              <w:tab/>
            </w:r>
            <w:r w:rsidR="00282589">
              <w:rPr>
                <w:noProof/>
                <w:webHidden/>
              </w:rPr>
              <w:fldChar w:fldCharType="begin"/>
            </w:r>
            <w:r w:rsidR="00282589">
              <w:rPr>
                <w:noProof/>
                <w:webHidden/>
              </w:rPr>
              <w:instrText xml:space="preserve"> PAGEREF _Toc156284415 \h </w:instrText>
            </w:r>
            <w:r w:rsidR="00282589">
              <w:rPr>
                <w:noProof/>
                <w:webHidden/>
              </w:rPr>
            </w:r>
            <w:r w:rsidR="00282589">
              <w:rPr>
                <w:noProof/>
                <w:webHidden/>
              </w:rPr>
              <w:fldChar w:fldCharType="separate"/>
            </w:r>
            <w:r>
              <w:rPr>
                <w:noProof/>
                <w:webHidden/>
              </w:rPr>
              <w:t>3</w:t>
            </w:r>
            <w:r w:rsidR="00282589">
              <w:rPr>
                <w:noProof/>
                <w:webHidden/>
              </w:rPr>
              <w:fldChar w:fldCharType="end"/>
            </w:r>
          </w:hyperlink>
        </w:p>
        <w:p w14:paraId="1DF82F4C" w14:textId="68F67FB4" w:rsidR="00282589" w:rsidRDefault="00741DB9">
          <w:pPr>
            <w:pStyle w:val="TOC1"/>
            <w:tabs>
              <w:tab w:val="right" w:leader="dot" w:pos="9350"/>
            </w:tabs>
            <w:rPr>
              <w:rFonts w:eastAsiaTheme="minorEastAsia" w:cstheme="minorBidi"/>
              <w:noProof/>
              <w:color w:val="auto"/>
              <w:kern w:val="2"/>
              <w:lang w:eastAsia="en-AU"/>
              <w14:ligatures w14:val="standardContextual"/>
            </w:rPr>
          </w:pPr>
          <w:hyperlink w:anchor="_Toc156284416" w:history="1">
            <w:r w:rsidR="00282589" w:rsidRPr="00391674">
              <w:rPr>
                <w:rStyle w:val="Hyperlink"/>
                <w:noProof/>
              </w:rPr>
              <w:t>Governing for Inclusion</w:t>
            </w:r>
            <w:r w:rsidR="00282589">
              <w:rPr>
                <w:noProof/>
                <w:webHidden/>
              </w:rPr>
              <w:tab/>
            </w:r>
            <w:r w:rsidR="00282589">
              <w:rPr>
                <w:noProof/>
                <w:webHidden/>
              </w:rPr>
              <w:fldChar w:fldCharType="begin"/>
            </w:r>
            <w:r w:rsidR="00282589">
              <w:rPr>
                <w:noProof/>
                <w:webHidden/>
              </w:rPr>
              <w:instrText xml:space="preserve"> PAGEREF _Toc156284416 \h </w:instrText>
            </w:r>
            <w:r w:rsidR="00282589">
              <w:rPr>
                <w:noProof/>
                <w:webHidden/>
              </w:rPr>
            </w:r>
            <w:r w:rsidR="00282589">
              <w:rPr>
                <w:noProof/>
                <w:webHidden/>
              </w:rPr>
              <w:fldChar w:fldCharType="separate"/>
            </w:r>
            <w:r>
              <w:rPr>
                <w:noProof/>
                <w:webHidden/>
              </w:rPr>
              <w:t>4</w:t>
            </w:r>
            <w:r w:rsidR="00282589">
              <w:rPr>
                <w:noProof/>
                <w:webHidden/>
              </w:rPr>
              <w:fldChar w:fldCharType="end"/>
            </w:r>
          </w:hyperlink>
        </w:p>
        <w:p w14:paraId="553B419D" w14:textId="654E370C" w:rsidR="00282589" w:rsidRDefault="00741DB9">
          <w:pPr>
            <w:pStyle w:val="TOC1"/>
            <w:tabs>
              <w:tab w:val="right" w:leader="dot" w:pos="9350"/>
            </w:tabs>
            <w:rPr>
              <w:rFonts w:eastAsiaTheme="minorEastAsia" w:cstheme="minorBidi"/>
              <w:noProof/>
              <w:color w:val="auto"/>
              <w:kern w:val="2"/>
              <w:lang w:eastAsia="en-AU"/>
              <w14:ligatures w14:val="standardContextual"/>
            </w:rPr>
          </w:pPr>
          <w:hyperlink w:anchor="_Toc156284417" w:history="1">
            <w:r w:rsidR="00282589" w:rsidRPr="00391674">
              <w:rPr>
                <w:rStyle w:val="Hyperlink"/>
                <w:noProof/>
              </w:rPr>
              <w:t>Health</w:t>
            </w:r>
            <w:r w:rsidR="00282589">
              <w:rPr>
                <w:noProof/>
                <w:webHidden/>
              </w:rPr>
              <w:tab/>
            </w:r>
            <w:r w:rsidR="00282589">
              <w:rPr>
                <w:noProof/>
                <w:webHidden/>
              </w:rPr>
              <w:fldChar w:fldCharType="begin"/>
            </w:r>
            <w:r w:rsidR="00282589">
              <w:rPr>
                <w:noProof/>
                <w:webHidden/>
              </w:rPr>
              <w:instrText xml:space="preserve"> PAGEREF _Toc156284417 \h </w:instrText>
            </w:r>
            <w:r w:rsidR="00282589">
              <w:rPr>
                <w:noProof/>
                <w:webHidden/>
              </w:rPr>
            </w:r>
            <w:r w:rsidR="00282589">
              <w:rPr>
                <w:noProof/>
                <w:webHidden/>
              </w:rPr>
              <w:fldChar w:fldCharType="separate"/>
            </w:r>
            <w:r>
              <w:rPr>
                <w:noProof/>
                <w:webHidden/>
              </w:rPr>
              <w:t>4</w:t>
            </w:r>
            <w:r w:rsidR="00282589">
              <w:rPr>
                <w:noProof/>
                <w:webHidden/>
              </w:rPr>
              <w:fldChar w:fldCharType="end"/>
            </w:r>
          </w:hyperlink>
        </w:p>
        <w:p w14:paraId="5D50F70E" w14:textId="10077E7C" w:rsidR="00282589" w:rsidRDefault="00741DB9">
          <w:pPr>
            <w:pStyle w:val="TOC1"/>
            <w:tabs>
              <w:tab w:val="right" w:leader="dot" w:pos="9350"/>
            </w:tabs>
            <w:rPr>
              <w:rFonts w:eastAsiaTheme="minorEastAsia" w:cstheme="minorBidi"/>
              <w:noProof/>
              <w:color w:val="auto"/>
              <w:kern w:val="2"/>
              <w:lang w:eastAsia="en-AU"/>
              <w14:ligatures w14:val="standardContextual"/>
            </w:rPr>
          </w:pPr>
          <w:hyperlink w:anchor="_Toc156284418" w:history="1">
            <w:r w:rsidR="00282589" w:rsidRPr="00391674">
              <w:rPr>
                <w:rStyle w:val="Hyperlink"/>
                <w:noProof/>
              </w:rPr>
              <w:t>Employment</w:t>
            </w:r>
            <w:r w:rsidR="00282589">
              <w:rPr>
                <w:noProof/>
                <w:webHidden/>
              </w:rPr>
              <w:tab/>
            </w:r>
            <w:r w:rsidR="00282589">
              <w:rPr>
                <w:noProof/>
                <w:webHidden/>
              </w:rPr>
              <w:fldChar w:fldCharType="begin"/>
            </w:r>
            <w:r w:rsidR="00282589">
              <w:rPr>
                <w:noProof/>
                <w:webHidden/>
              </w:rPr>
              <w:instrText xml:space="preserve"> PAGEREF _Toc156284418 \h </w:instrText>
            </w:r>
            <w:r w:rsidR="00282589">
              <w:rPr>
                <w:noProof/>
                <w:webHidden/>
              </w:rPr>
            </w:r>
            <w:r w:rsidR="00282589">
              <w:rPr>
                <w:noProof/>
                <w:webHidden/>
              </w:rPr>
              <w:fldChar w:fldCharType="separate"/>
            </w:r>
            <w:r>
              <w:rPr>
                <w:noProof/>
                <w:webHidden/>
              </w:rPr>
              <w:t>6</w:t>
            </w:r>
            <w:r w:rsidR="00282589">
              <w:rPr>
                <w:noProof/>
                <w:webHidden/>
              </w:rPr>
              <w:fldChar w:fldCharType="end"/>
            </w:r>
          </w:hyperlink>
        </w:p>
        <w:p w14:paraId="0622B7D2" w14:textId="62D4B6AB" w:rsidR="00282589" w:rsidRDefault="00741DB9">
          <w:pPr>
            <w:pStyle w:val="TOC1"/>
            <w:tabs>
              <w:tab w:val="right" w:leader="dot" w:pos="9350"/>
            </w:tabs>
            <w:rPr>
              <w:rFonts w:eastAsiaTheme="minorEastAsia" w:cstheme="minorBidi"/>
              <w:noProof/>
              <w:color w:val="auto"/>
              <w:kern w:val="2"/>
              <w:lang w:eastAsia="en-AU"/>
              <w14:ligatures w14:val="standardContextual"/>
            </w:rPr>
          </w:pPr>
          <w:hyperlink w:anchor="_Toc156284419" w:history="1">
            <w:r w:rsidR="00282589" w:rsidRPr="00391674">
              <w:rPr>
                <w:rStyle w:val="Hyperlink"/>
                <w:noProof/>
              </w:rPr>
              <w:t>Housing</w:t>
            </w:r>
            <w:r w:rsidR="00282589">
              <w:rPr>
                <w:noProof/>
                <w:webHidden/>
              </w:rPr>
              <w:tab/>
            </w:r>
            <w:r w:rsidR="00282589">
              <w:rPr>
                <w:noProof/>
                <w:webHidden/>
              </w:rPr>
              <w:fldChar w:fldCharType="begin"/>
            </w:r>
            <w:r w:rsidR="00282589">
              <w:rPr>
                <w:noProof/>
                <w:webHidden/>
              </w:rPr>
              <w:instrText xml:space="preserve"> PAGEREF _Toc156284419 \h </w:instrText>
            </w:r>
            <w:r w:rsidR="00282589">
              <w:rPr>
                <w:noProof/>
                <w:webHidden/>
              </w:rPr>
            </w:r>
            <w:r w:rsidR="00282589">
              <w:rPr>
                <w:noProof/>
                <w:webHidden/>
              </w:rPr>
              <w:fldChar w:fldCharType="separate"/>
            </w:r>
            <w:r>
              <w:rPr>
                <w:noProof/>
                <w:webHidden/>
              </w:rPr>
              <w:t>7</w:t>
            </w:r>
            <w:r w:rsidR="00282589">
              <w:rPr>
                <w:noProof/>
                <w:webHidden/>
              </w:rPr>
              <w:fldChar w:fldCharType="end"/>
            </w:r>
          </w:hyperlink>
        </w:p>
        <w:p w14:paraId="7CF29DB2" w14:textId="577B3066" w:rsidR="00282589" w:rsidRDefault="00741DB9">
          <w:pPr>
            <w:pStyle w:val="TOC1"/>
            <w:tabs>
              <w:tab w:val="right" w:leader="dot" w:pos="9350"/>
            </w:tabs>
            <w:rPr>
              <w:rFonts w:eastAsiaTheme="minorEastAsia" w:cstheme="minorBidi"/>
              <w:noProof/>
              <w:color w:val="auto"/>
              <w:kern w:val="2"/>
              <w:lang w:eastAsia="en-AU"/>
              <w14:ligatures w14:val="standardContextual"/>
            </w:rPr>
          </w:pPr>
          <w:hyperlink w:anchor="_Toc156284420" w:history="1">
            <w:r w:rsidR="00282589" w:rsidRPr="00391674">
              <w:rPr>
                <w:rStyle w:val="Hyperlink"/>
                <w:noProof/>
              </w:rPr>
              <w:t>Conclusion</w:t>
            </w:r>
            <w:r w:rsidR="00282589">
              <w:rPr>
                <w:noProof/>
                <w:webHidden/>
              </w:rPr>
              <w:tab/>
            </w:r>
            <w:r w:rsidR="00282589">
              <w:rPr>
                <w:noProof/>
                <w:webHidden/>
              </w:rPr>
              <w:fldChar w:fldCharType="begin"/>
            </w:r>
            <w:r w:rsidR="00282589">
              <w:rPr>
                <w:noProof/>
                <w:webHidden/>
              </w:rPr>
              <w:instrText xml:space="preserve"> PAGEREF _Toc156284420 \h </w:instrText>
            </w:r>
            <w:r w:rsidR="00282589">
              <w:rPr>
                <w:noProof/>
                <w:webHidden/>
              </w:rPr>
            </w:r>
            <w:r w:rsidR="00282589">
              <w:rPr>
                <w:noProof/>
                <w:webHidden/>
              </w:rPr>
              <w:fldChar w:fldCharType="separate"/>
            </w:r>
            <w:r>
              <w:rPr>
                <w:noProof/>
                <w:webHidden/>
              </w:rPr>
              <w:t>9</w:t>
            </w:r>
            <w:r w:rsidR="00282589">
              <w:rPr>
                <w:noProof/>
                <w:webHidden/>
              </w:rPr>
              <w:fldChar w:fldCharType="end"/>
            </w:r>
          </w:hyperlink>
        </w:p>
        <w:p w14:paraId="665BFB38" w14:textId="0298AE87" w:rsidR="00F36380" w:rsidRDefault="00F36380">
          <w:r>
            <w:rPr>
              <w:b/>
              <w:bCs/>
              <w:noProof/>
            </w:rPr>
            <w:fldChar w:fldCharType="end"/>
          </w:r>
        </w:p>
      </w:sdtContent>
    </w:sdt>
    <w:p w14:paraId="55101632" w14:textId="7575B967" w:rsidR="00282589" w:rsidRDefault="00282589">
      <w:pPr>
        <w:rPr>
          <w:rFonts w:ascii="Calibri" w:hAnsi="Calibri" w:cs="Calibri"/>
          <w:b/>
          <w:bCs/>
          <w:color w:val="081594"/>
          <w:sz w:val="44"/>
          <w:szCs w:val="44"/>
        </w:rPr>
      </w:pPr>
      <w:r>
        <w:br w:type="page"/>
      </w:r>
    </w:p>
    <w:p w14:paraId="586055C6" w14:textId="77777777" w:rsidR="002C198E" w:rsidRPr="002C198E" w:rsidRDefault="002C198E" w:rsidP="002C198E">
      <w:pPr>
        <w:pStyle w:val="Heading1"/>
      </w:pPr>
      <w:bookmarkStart w:id="2" w:name="_Toc98945404"/>
      <w:r w:rsidRPr="002C198E">
        <w:lastRenderedPageBreak/>
        <w:t>About Queenslanders with Disability Network (QDN)</w:t>
      </w:r>
      <w:bookmarkEnd w:id="2"/>
    </w:p>
    <w:p w14:paraId="02C77DA0" w14:textId="77777777" w:rsidR="002C198E" w:rsidRDefault="002C198E" w:rsidP="002C198E">
      <w:r w:rsidRPr="009869F1">
        <w:t xml:space="preserve">Queenslanders with Disability Network (QDN) is an organisation of, for, and with people with disability. QDN operates a state-wide network of 2,000+ members and supporters who provide information, feedback and views based on their lived experience, which inform the organisation’s systemic advocacy activities. We believe people with disability should always be at the table when decisions are made that directly impact their lives. </w:t>
      </w:r>
    </w:p>
    <w:p w14:paraId="4B86CD2B" w14:textId="158E5A08" w:rsidR="00914F5B" w:rsidRPr="009869F1" w:rsidRDefault="00914F5B" w:rsidP="002C198E">
      <w:r>
        <w:rPr>
          <w:rStyle w:val="normaltextrun"/>
          <w:rFonts w:ascii="Calibri" w:hAnsi="Calibri" w:cs="Calibri"/>
          <w:color w:val="000000"/>
          <w:shd w:val="clear" w:color="auto" w:fill="FFFFFF"/>
        </w:rPr>
        <w:t>QDN also hosts 21 peer support groups across Queensland, made up of people with a diverse range of disabilities, and convened by people with disability. The groups network socially, share information, life experiences and solutions, to create more inclusive lives and communities.  Local groups are a safe space for people with disability to share information on topics that are of interest to them, to extend their social networks, and to build capacity and leadership skills.</w:t>
      </w:r>
      <w:r>
        <w:rPr>
          <w:rStyle w:val="eop"/>
          <w:rFonts w:ascii="Calibri" w:hAnsi="Calibri" w:cs="Calibri"/>
          <w:color w:val="000000"/>
          <w:shd w:val="clear" w:color="auto" w:fill="FFFFFF"/>
        </w:rPr>
        <w:t> </w:t>
      </w:r>
    </w:p>
    <w:p w14:paraId="4E838A42" w14:textId="736A6E22" w:rsidR="00A63DD7" w:rsidRDefault="16E006FE" w:rsidP="00DE42F0">
      <w:pPr>
        <w:pStyle w:val="Heading1"/>
        <w:rPr>
          <w:lang w:val="en-US"/>
        </w:rPr>
      </w:pPr>
      <w:bookmarkStart w:id="3" w:name="_Toc156284414"/>
      <w:r w:rsidRPr="000400D6">
        <w:t>Introduction</w:t>
      </w:r>
      <w:bookmarkEnd w:id="3"/>
      <w:r w:rsidRPr="1DD8734C">
        <w:rPr>
          <w:lang w:val="en-US"/>
        </w:rPr>
        <w:t xml:space="preserve"> </w:t>
      </w:r>
    </w:p>
    <w:p w14:paraId="36766DF1" w14:textId="36A67C7D" w:rsidR="009911C7" w:rsidRDefault="009911C7" w:rsidP="00B04204">
      <w:bookmarkStart w:id="4" w:name="_Toc156284415"/>
      <w:r>
        <w:t>QDN welcomes the opportunity to</w:t>
      </w:r>
      <w:r w:rsidR="00DC596B">
        <w:t xml:space="preserve"> make a submissio</w:t>
      </w:r>
      <w:r w:rsidR="00C97516">
        <w:t xml:space="preserve">n to </w:t>
      </w:r>
      <w:r w:rsidR="00C97516" w:rsidRPr="392A7E03">
        <w:rPr>
          <w:rStyle w:val="normaltextrun"/>
          <w:rFonts w:ascii="Calibri" w:hAnsi="Calibri" w:cs="Calibri"/>
          <w:shd w:val="clear" w:color="auto" w:fill="FFFFFF"/>
        </w:rPr>
        <w:t>The Royal Commission into Violence, Abuse, Neglect and Exploitation of People with Disability (Disability Royal Commission (DRC)</w:t>
      </w:r>
      <w:r w:rsidR="009F7BA5">
        <w:rPr>
          <w:rStyle w:val="normaltextrun"/>
          <w:rFonts w:ascii="Calibri" w:hAnsi="Calibri" w:cs="Calibri"/>
          <w:shd w:val="clear" w:color="auto" w:fill="FFFFFF"/>
        </w:rPr>
        <w:t>)</w:t>
      </w:r>
      <w:r w:rsidR="00713602">
        <w:rPr>
          <w:rStyle w:val="normaltextrun"/>
          <w:rFonts w:ascii="Calibri" w:hAnsi="Calibri" w:cs="Calibri"/>
          <w:shd w:val="clear" w:color="auto" w:fill="FFFFFF"/>
        </w:rPr>
        <w:t xml:space="preserve"> </w:t>
      </w:r>
      <w:r w:rsidR="00713602">
        <w:t>Australian Government response.</w:t>
      </w:r>
    </w:p>
    <w:p w14:paraId="0B809385" w14:textId="0D7B7AD3" w:rsidR="00B04204" w:rsidRDefault="007E1D43" w:rsidP="00B04204">
      <w:r>
        <w:t>During</w:t>
      </w:r>
      <w:r w:rsidR="009767ED">
        <w:t xml:space="preserve"> </w:t>
      </w:r>
      <w:r w:rsidR="00713602">
        <w:t xml:space="preserve">the DRC </w:t>
      </w:r>
      <w:r w:rsidR="009767ED">
        <w:rPr>
          <w:rStyle w:val="normaltextrun"/>
          <w:rFonts w:ascii="Calibri" w:hAnsi="Calibri" w:cs="Calibri"/>
          <w:shd w:val="clear" w:color="auto" w:fill="FFFFFF"/>
        </w:rPr>
        <w:t>QDN made eight submissions</w:t>
      </w:r>
      <w:r w:rsidR="00A11D96">
        <w:rPr>
          <w:rStyle w:val="normaltextrun"/>
          <w:rFonts w:ascii="Calibri" w:hAnsi="Calibri" w:cs="Calibri"/>
          <w:shd w:val="clear" w:color="auto" w:fill="FFFFFF"/>
        </w:rPr>
        <w:t xml:space="preserve"> based on </w:t>
      </w:r>
      <w:r w:rsidR="00637C97">
        <w:rPr>
          <w:rStyle w:val="normaltextrun"/>
          <w:rFonts w:ascii="Calibri" w:hAnsi="Calibri" w:cs="Calibri"/>
          <w:shd w:val="clear" w:color="auto" w:fill="FFFFFF"/>
        </w:rPr>
        <w:t xml:space="preserve">the lived experience, </w:t>
      </w:r>
      <w:proofErr w:type="gramStart"/>
      <w:r w:rsidR="00637C97">
        <w:rPr>
          <w:rStyle w:val="normaltextrun"/>
          <w:rFonts w:ascii="Calibri" w:hAnsi="Calibri" w:cs="Calibri"/>
          <w:shd w:val="clear" w:color="auto" w:fill="FFFFFF"/>
        </w:rPr>
        <w:t>knowledge</w:t>
      </w:r>
      <w:proofErr w:type="gramEnd"/>
      <w:r w:rsidR="00637C97">
        <w:rPr>
          <w:rStyle w:val="normaltextrun"/>
          <w:rFonts w:ascii="Calibri" w:hAnsi="Calibri" w:cs="Calibri"/>
          <w:shd w:val="clear" w:color="auto" w:fill="FFFFFF"/>
        </w:rPr>
        <w:t xml:space="preserve"> and expertise of QDN members.</w:t>
      </w:r>
    </w:p>
    <w:p w14:paraId="5AFF46FA" w14:textId="56A77FA9" w:rsidR="00C01DA2" w:rsidRDefault="005D79A2" w:rsidP="00490FCC">
      <w:pPr>
        <w:rPr>
          <w:rStyle w:val="eop"/>
          <w:rFonts w:ascii="Calibri" w:hAnsi="Calibri" w:cs="Calibri"/>
        </w:rPr>
      </w:pPr>
      <w:r>
        <w:rPr>
          <w:rStyle w:val="normaltextrun"/>
          <w:rFonts w:ascii="Calibri" w:hAnsi="Calibri" w:cs="Calibri"/>
          <w:shd w:val="clear" w:color="auto" w:fill="FFFFFF"/>
        </w:rPr>
        <w:t>Following the release of the DRC’s</w:t>
      </w:r>
      <w:r w:rsidR="002E6770" w:rsidRPr="392A7E03">
        <w:rPr>
          <w:rStyle w:val="normaltextrun"/>
          <w:rFonts w:ascii="Calibri" w:hAnsi="Calibri" w:cs="Calibri"/>
          <w:shd w:val="clear" w:color="auto" w:fill="FFFFFF"/>
        </w:rPr>
        <w:t xml:space="preserve"> final report on 29 September 2023</w:t>
      </w:r>
      <w:r w:rsidR="00675487">
        <w:rPr>
          <w:rStyle w:val="normaltextrun"/>
          <w:rFonts w:ascii="Calibri" w:hAnsi="Calibri" w:cs="Calibri"/>
          <w:shd w:val="clear" w:color="auto" w:fill="FFFFFF"/>
        </w:rPr>
        <w:t>,</w:t>
      </w:r>
      <w:r w:rsidR="002E6770" w:rsidRPr="392A7E03">
        <w:rPr>
          <w:rStyle w:val="normaltextrun"/>
          <w:rFonts w:ascii="Calibri" w:hAnsi="Calibri" w:cs="Calibri"/>
          <w:shd w:val="clear" w:color="auto" w:fill="FFFFFF"/>
        </w:rPr>
        <w:t xml:space="preserve"> </w:t>
      </w:r>
      <w:r w:rsidR="002E6770">
        <w:rPr>
          <w:rStyle w:val="normaltextrun"/>
          <w:rFonts w:ascii="Calibri" w:hAnsi="Calibri" w:cs="Calibri"/>
          <w:shd w:val="clear" w:color="auto" w:fill="FFFFFF"/>
        </w:rPr>
        <w:t xml:space="preserve">QDN </w:t>
      </w:r>
      <w:r w:rsidR="00EC6EB2">
        <w:rPr>
          <w:rStyle w:val="normaltextrun"/>
          <w:rFonts w:ascii="Calibri" w:hAnsi="Calibri" w:cs="Calibri"/>
          <w:shd w:val="clear" w:color="auto" w:fill="FFFFFF"/>
        </w:rPr>
        <w:t>facilitated</w:t>
      </w:r>
      <w:r w:rsidR="002E6770">
        <w:rPr>
          <w:rStyle w:val="normaltextrun"/>
          <w:rFonts w:ascii="Calibri" w:hAnsi="Calibri" w:cs="Calibri"/>
          <w:shd w:val="clear" w:color="auto" w:fill="FFFFFF"/>
        </w:rPr>
        <w:t xml:space="preserve"> four member forums</w:t>
      </w:r>
      <w:r w:rsidR="00675487">
        <w:rPr>
          <w:rStyle w:val="normaltextrun"/>
          <w:rFonts w:ascii="Calibri" w:hAnsi="Calibri" w:cs="Calibri"/>
          <w:shd w:val="clear" w:color="auto" w:fill="FFFFFF"/>
        </w:rPr>
        <w:t xml:space="preserve"> in November and December 2023 to discuss and provide feedback on the recommendations</w:t>
      </w:r>
      <w:r w:rsidR="002E6770">
        <w:rPr>
          <w:rStyle w:val="normaltextrun"/>
          <w:rFonts w:ascii="Calibri" w:hAnsi="Calibri" w:cs="Calibri"/>
          <w:shd w:val="clear" w:color="auto" w:fill="FFFFFF"/>
        </w:rPr>
        <w:t xml:space="preserve">. The first forum was </w:t>
      </w:r>
      <w:r w:rsidR="00490FCC">
        <w:rPr>
          <w:rStyle w:val="normaltextrun"/>
          <w:rFonts w:ascii="Calibri" w:hAnsi="Calibri" w:cs="Calibri"/>
          <w:shd w:val="clear" w:color="auto" w:fill="FFFFFF"/>
        </w:rPr>
        <w:t xml:space="preserve">an introductory session with Queensland Government on the process for their response to the </w:t>
      </w:r>
      <w:r w:rsidR="00C01DA2">
        <w:rPr>
          <w:rStyle w:val="normaltextrun"/>
          <w:rFonts w:ascii="Calibri" w:hAnsi="Calibri" w:cs="Calibri"/>
          <w:shd w:val="clear" w:color="auto" w:fill="FFFFFF"/>
        </w:rPr>
        <w:t>Recommendations. The following</w:t>
      </w:r>
      <w:r w:rsidR="002E6770">
        <w:rPr>
          <w:rStyle w:val="normaltextrun"/>
          <w:rFonts w:ascii="Calibri" w:hAnsi="Calibri" w:cs="Calibri"/>
          <w:shd w:val="clear" w:color="auto" w:fill="FFFFFF"/>
        </w:rPr>
        <w:t xml:space="preserve"> three forums covered recommendations on housing, health and employment and provided an opportunity to hear from QDN members on these important topics.</w:t>
      </w:r>
      <w:r w:rsidR="002E6770">
        <w:rPr>
          <w:rStyle w:val="eop"/>
          <w:rFonts w:ascii="Calibri" w:hAnsi="Calibri" w:cs="Calibri"/>
        </w:rPr>
        <w:t> </w:t>
      </w:r>
    </w:p>
    <w:p w14:paraId="04264EA9" w14:textId="43B03C1F" w:rsidR="002E6770" w:rsidRDefault="002E6770" w:rsidP="00490FCC">
      <w:pPr>
        <w:rPr>
          <w:rFonts w:ascii="Segoe UI" w:hAnsi="Segoe UI" w:cs="Segoe UI"/>
          <w:sz w:val="18"/>
          <w:szCs w:val="18"/>
        </w:rPr>
      </w:pPr>
      <w:r>
        <w:rPr>
          <w:rStyle w:val="normaltextrun"/>
          <w:rFonts w:ascii="Calibri" w:hAnsi="Calibri" w:cs="Calibri"/>
          <w:shd w:val="clear" w:color="auto" w:fill="FFFFFF"/>
        </w:rPr>
        <w:t xml:space="preserve">In total there were 87 members who came together to share valuable feedback, </w:t>
      </w:r>
      <w:proofErr w:type="gramStart"/>
      <w:r>
        <w:rPr>
          <w:rStyle w:val="normaltextrun"/>
          <w:rFonts w:ascii="Calibri" w:hAnsi="Calibri" w:cs="Calibri"/>
          <w:shd w:val="clear" w:color="auto" w:fill="FFFFFF"/>
        </w:rPr>
        <w:t>insights</w:t>
      </w:r>
      <w:proofErr w:type="gramEnd"/>
      <w:r>
        <w:rPr>
          <w:rStyle w:val="normaltextrun"/>
          <w:rFonts w:ascii="Calibri" w:hAnsi="Calibri" w:cs="Calibri"/>
          <w:shd w:val="clear" w:color="auto" w:fill="FFFFFF"/>
        </w:rPr>
        <w:t xml:space="preserve"> and ideas regarding which recommendations they felt should be prioritised. </w:t>
      </w:r>
      <w:r>
        <w:rPr>
          <w:rStyle w:val="eop"/>
          <w:rFonts w:ascii="Calibri" w:hAnsi="Calibri" w:cs="Calibri"/>
        </w:rPr>
        <w:t> </w:t>
      </w:r>
    </w:p>
    <w:p w14:paraId="3E31BF95" w14:textId="2B1FFA78" w:rsidR="00B04204" w:rsidRPr="004B1B21" w:rsidRDefault="004E5EC1" w:rsidP="00B04204">
      <w:r>
        <w:rPr>
          <w:rStyle w:val="normaltextrun"/>
          <w:rFonts w:ascii="Calibri" w:hAnsi="Calibri" w:cs="Calibri"/>
          <w:color w:val="000000"/>
          <w:shd w:val="clear" w:color="auto" w:fill="FFFFFF"/>
        </w:rPr>
        <w:t xml:space="preserve">This submission seeks to place on record </w:t>
      </w:r>
      <w:r w:rsidR="00C23D4A">
        <w:rPr>
          <w:rStyle w:val="normaltextrun"/>
          <w:rFonts w:ascii="Calibri" w:hAnsi="Calibri" w:cs="Calibri"/>
          <w:color w:val="000000"/>
          <w:shd w:val="clear" w:color="auto" w:fill="FFFFFF"/>
        </w:rPr>
        <w:t xml:space="preserve">insights and expertise based on the </w:t>
      </w:r>
      <w:r>
        <w:rPr>
          <w:rStyle w:val="normaltextrun"/>
          <w:rFonts w:ascii="Calibri" w:hAnsi="Calibri" w:cs="Calibri"/>
          <w:color w:val="000000"/>
          <w:shd w:val="clear" w:color="auto" w:fill="FFFFFF"/>
        </w:rPr>
        <w:t xml:space="preserve">lived experiences of QDN members </w:t>
      </w:r>
      <w:r w:rsidR="00C23D4A">
        <w:rPr>
          <w:rStyle w:val="normaltextrun"/>
          <w:rFonts w:ascii="Calibri" w:hAnsi="Calibri" w:cs="Calibri"/>
          <w:color w:val="000000"/>
          <w:shd w:val="clear" w:color="auto" w:fill="FFFFFF"/>
        </w:rPr>
        <w:t>to</w:t>
      </w:r>
      <w:r>
        <w:rPr>
          <w:rStyle w:val="normaltextrun"/>
          <w:rFonts w:ascii="Calibri" w:hAnsi="Calibri" w:cs="Calibri"/>
          <w:color w:val="000000"/>
          <w:shd w:val="clear" w:color="auto" w:fill="FFFFFF"/>
        </w:rPr>
        <w:t xml:space="preserve"> provide feedback on </w:t>
      </w:r>
      <w:r w:rsidR="003764BB">
        <w:t>r</w:t>
      </w:r>
      <w:r w:rsidR="00B04204" w:rsidRPr="004B1B21">
        <w:t xml:space="preserve">ecommendations relating to </w:t>
      </w:r>
      <w:r w:rsidR="00B04204">
        <w:t xml:space="preserve">the Disability Rights Act, Governing for Inclusion and </w:t>
      </w:r>
      <w:r w:rsidR="00B04204" w:rsidRPr="004B1B21">
        <w:t xml:space="preserve">three key </w:t>
      </w:r>
      <w:r w:rsidR="00B04204">
        <w:t xml:space="preserve">policy </w:t>
      </w:r>
      <w:r w:rsidR="00B04204" w:rsidRPr="004B1B21">
        <w:t xml:space="preserve">priority areas for QDN and its members. These are health, </w:t>
      </w:r>
      <w:proofErr w:type="gramStart"/>
      <w:r w:rsidR="00B04204" w:rsidRPr="004B1B21">
        <w:t>employment</w:t>
      </w:r>
      <w:proofErr w:type="gramEnd"/>
      <w:r w:rsidR="00B04204" w:rsidRPr="004B1B21">
        <w:t xml:space="preserve"> and housing.</w:t>
      </w:r>
    </w:p>
    <w:p w14:paraId="09F6CA87" w14:textId="238DE611" w:rsidR="00F36380" w:rsidRDefault="00F36380" w:rsidP="00DE42F0">
      <w:pPr>
        <w:pStyle w:val="Heading1"/>
      </w:pPr>
      <w:r>
        <w:t>Disability Rights Act</w:t>
      </w:r>
      <w:bookmarkEnd w:id="4"/>
    </w:p>
    <w:p w14:paraId="39F7EEFA" w14:textId="77777777" w:rsidR="008945BE" w:rsidRDefault="00802CCB" w:rsidP="00FE76EF">
      <w:r>
        <w:t>The DRC has recommended that the Australian Government enact a new Disability Rights Act and State/Territory governments should implement complementary or equivalent legislation</w:t>
      </w:r>
      <w:r w:rsidR="00395598">
        <w:t>.</w:t>
      </w:r>
      <w:r>
        <w:t xml:space="preserve"> </w:t>
      </w:r>
    </w:p>
    <w:p w14:paraId="7797CD40" w14:textId="77777777" w:rsidR="008945BE" w:rsidRDefault="008945BE" w:rsidP="008945BE">
      <w:r w:rsidRPr="004B1B21">
        <w:lastRenderedPageBreak/>
        <w:t xml:space="preserve">QDN members see the Disability Rights Act as high priority and </w:t>
      </w:r>
      <w:r>
        <w:t xml:space="preserve">all recommendations relating to this legislation </w:t>
      </w:r>
      <w:r w:rsidRPr="004B1B21">
        <w:t xml:space="preserve">should be acted on without delay. </w:t>
      </w:r>
    </w:p>
    <w:p w14:paraId="02A2EA4C" w14:textId="020B2ED1" w:rsidR="00395598" w:rsidRDefault="00395598" w:rsidP="00FE76EF">
      <w:r>
        <w:t xml:space="preserve">QDN </w:t>
      </w:r>
      <w:r w:rsidR="00DA331A">
        <w:t xml:space="preserve">supports in </w:t>
      </w:r>
      <w:r w:rsidR="008945BE">
        <w:t>principle</w:t>
      </w:r>
      <w:r>
        <w:t xml:space="preserve"> the DRC recommendations in </w:t>
      </w:r>
      <w:r w:rsidRPr="0080453C">
        <w:rPr>
          <w:b/>
          <w:bCs/>
        </w:rPr>
        <w:t xml:space="preserve">Volume 4 </w:t>
      </w:r>
      <w:r w:rsidR="00863922" w:rsidRPr="0080453C">
        <w:rPr>
          <w:b/>
          <w:bCs/>
        </w:rPr>
        <w:t>– Realising the human rights of people with disability</w:t>
      </w:r>
      <w:r w:rsidRPr="0080453C">
        <w:rPr>
          <w:b/>
          <w:bCs/>
        </w:rPr>
        <w:t xml:space="preserve"> </w:t>
      </w:r>
      <w:r>
        <w:t>relating to a Disability Rights Act</w:t>
      </w:r>
      <w:r w:rsidR="003A36E2">
        <w:t xml:space="preserve"> and recommends Australian and State/Territory governments each pass a Disability Rights Act by 2025 with strong enforcement provisions.</w:t>
      </w:r>
    </w:p>
    <w:p w14:paraId="033AD50C" w14:textId="77777777" w:rsidR="003A36E2" w:rsidRPr="004B1B21" w:rsidRDefault="003A36E2" w:rsidP="003A36E2">
      <w:r w:rsidRPr="006A53A8">
        <w:t>QDN and its members</w:t>
      </w:r>
      <w:r w:rsidRPr="004B1B21">
        <w:t xml:space="preserve"> call for greater clarity around how this Act would interact with the Disability Discrimination Act 1992 (</w:t>
      </w:r>
      <w:proofErr w:type="spellStart"/>
      <w:r w:rsidRPr="004B1B21">
        <w:t>Cth</w:t>
      </w:r>
      <w:proofErr w:type="spellEnd"/>
      <w:r w:rsidRPr="004B1B21">
        <w:t>) and the new Disability Services and Inclusion Act as well as a co-design process with people with disability in design and implementation of the Act.</w:t>
      </w:r>
    </w:p>
    <w:p w14:paraId="67723EFD" w14:textId="49F1EED8" w:rsidR="00DA331A" w:rsidRPr="00FE76EF" w:rsidRDefault="00DA331A" w:rsidP="00FE76EF">
      <w:r>
        <w:t xml:space="preserve">In relation to </w:t>
      </w:r>
      <w:r w:rsidRPr="0080453C">
        <w:rPr>
          <w:b/>
          <w:bCs/>
        </w:rPr>
        <w:t>Recommendation 4.4 Future Review of the Disability Rights Act</w:t>
      </w:r>
      <w:r>
        <w:t xml:space="preserve">, </w:t>
      </w:r>
      <w:r w:rsidRPr="004B1B21">
        <w:t>QDN believes five years is too long for a review of the Act and urges Government to aim for a review three years after commencement.</w:t>
      </w:r>
    </w:p>
    <w:p w14:paraId="11C60A6F" w14:textId="756BB4EE" w:rsidR="00FE76EF" w:rsidRDefault="00FE76EF" w:rsidP="00DE42F0">
      <w:pPr>
        <w:pStyle w:val="Heading1"/>
      </w:pPr>
      <w:bookmarkStart w:id="5" w:name="_Toc156284416"/>
      <w:r>
        <w:t>Governing for Inclusion</w:t>
      </w:r>
      <w:bookmarkEnd w:id="5"/>
    </w:p>
    <w:p w14:paraId="5A519A13" w14:textId="77777777" w:rsidR="000A224A" w:rsidRPr="004B1B21" w:rsidRDefault="000A224A" w:rsidP="000A224A">
      <w:r w:rsidRPr="004B1B21">
        <w:t xml:space="preserve">QDN is supportive of recommendations in </w:t>
      </w:r>
      <w:r w:rsidRPr="004E0045">
        <w:rPr>
          <w:b/>
          <w:bCs/>
        </w:rPr>
        <w:t>Volume 5 Governing for Inclusion</w:t>
      </w:r>
      <w:r w:rsidRPr="004B1B21">
        <w:t xml:space="preserve"> with consideration of the following:</w:t>
      </w:r>
    </w:p>
    <w:p w14:paraId="0790BED2" w14:textId="77777777" w:rsidR="000A224A" w:rsidRPr="004B1B21" w:rsidRDefault="000A224A" w:rsidP="000A224A">
      <w:pPr>
        <w:pStyle w:val="ListParagraph"/>
        <w:numPr>
          <w:ilvl w:val="0"/>
          <w:numId w:val="28"/>
        </w:numPr>
        <w:spacing w:after="0" w:line="240" w:lineRule="auto"/>
      </w:pPr>
      <w:r>
        <w:t>t</w:t>
      </w:r>
      <w:r w:rsidRPr="004B1B21">
        <w:t>h</w:t>
      </w:r>
      <w:r>
        <w:t>at the</w:t>
      </w:r>
      <w:r w:rsidRPr="004B1B21">
        <w:t xml:space="preserve"> new National Disability Agreement apply to all people with disability regardless of age or NDIS status,</w:t>
      </w:r>
    </w:p>
    <w:p w14:paraId="56F531B0" w14:textId="77777777" w:rsidR="000A224A" w:rsidRPr="004B1B21" w:rsidRDefault="000A224A" w:rsidP="000A224A">
      <w:pPr>
        <w:pStyle w:val="ListParagraph"/>
        <w:numPr>
          <w:ilvl w:val="0"/>
          <w:numId w:val="28"/>
        </w:numPr>
        <w:spacing w:after="0" w:line="240" w:lineRule="auto"/>
      </w:pPr>
      <w:r>
        <w:t>that updating</w:t>
      </w:r>
      <w:r w:rsidRPr="004B1B21">
        <w:t xml:space="preserve"> State and Territory strategies and plans commence after Australia’s Disability Strategy is updated to reduce fragmented approaches to policy,</w:t>
      </w:r>
    </w:p>
    <w:p w14:paraId="17801E02" w14:textId="77777777" w:rsidR="000A224A" w:rsidRDefault="000A224A" w:rsidP="000A224A">
      <w:pPr>
        <w:pStyle w:val="ListParagraph"/>
        <w:numPr>
          <w:ilvl w:val="0"/>
          <w:numId w:val="28"/>
        </w:numPr>
        <w:spacing w:after="0" w:line="240" w:lineRule="auto"/>
      </w:pPr>
      <w:r>
        <w:t>that a</w:t>
      </w:r>
      <w:r w:rsidRPr="004B1B21">
        <w:t xml:space="preserve">ction plans are put in place following development of strategies. QDN members report national agreements and plans don’t always reach health professionals on the ground where efforts need to be improved around standards of care and disability awareness and understanding. </w:t>
      </w:r>
    </w:p>
    <w:p w14:paraId="4918043A" w14:textId="2854E95A" w:rsidR="000A224A" w:rsidRPr="00F70DD7" w:rsidRDefault="004E0045" w:rsidP="000A224A">
      <w:r>
        <w:rPr>
          <w:rStyle w:val="normaltextrun"/>
          <w:rFonts w:ascii="Calibri" w:hAnsi="Calibri" w:cs="Calibri"/>
        </w:rPr>
        <w:br/>
      </w:r>
      <w:r w:rsidR="008D6416">
        <w:rPr>
          <w:rStyle w:val="normaltextrun"/>
          <w:rFonts w:ascii="Calibri" w:hAnsi="Calibri" w:cs="Calibri"/>
        </w:rPr>
        <w:t xml:space="preserve">With regards to </w:t>
      </w:r>
      <w:r w:rsidR="008D6416" w:rsidRPr="00395F32">
        <w:rPr>
          <w:rStyle w:val="normaltextrun"/>
          <w:rFonts w:ascii="Calibri" w:hAnsi="Calibri" w:cs="Calibri"/>
          <w:b/>
          <w:bCs/>
        </w:rPr>
        <w:t xml:space="preserve">Recommendation </w:t>
      </w:r>
      <w:r w:rsidR="0034156E" w:rsidRPr="00395F32">
        <w:rPr>
          <w:rStyle w:val="normaltextrun"/>
          <w:rFonts w:ascii="Calibri" w:hAnsi="Calibri" w:cs="Calibri"/>
          <w:b/>
          <w:bCs/>
        </w:rPr>
        <w:t xml:space="preserve">5.4 </w:t>
      </w:r>
      <w:r w:rsidR="00F64388" w:rsidRPr="00395F32">
        <w:rPr>
          <w:rStyle w:val="normaltextrun"/>
          <w:rFonts w:ascii="Calibri" w:hAnsi="Calibri" w:cs="Calibri"/>
          <w:b/>
          <w:bCs/>
        </w:rPr>
        <w:t>Review of nation</w:t>
      </w:r>
      <w:r w:rsidR="00B45221" w:rsidRPr="00395F32">
        <w:rPr>
          <w:rStyle w:val="normaltextrun"/>
          <w:rFonts w:ascii="Calibri" w:hAnsi="Calibri" w:cs="Calibri"/>
          <w:b/>
          <w:bCs/>
        </w:rPr>
        <w:t xml:space="preserve">al </w:t>
      </w:r>
      <w:r w:rsidR="00395F32" w:rsidRPr="00395F32">
        <w:rPr>
          <w:rStyle w:val="normaltextrun"/>
          <w:rFonts w:ascii="Calibri" w:hAnsi="Calibri" w:cs="Calibri"/>
          <w:b/>
          <w:bCs/>
        </w:rPr>
        <w:t xml:space="preserve">agreements, </w:t>
      </w:r>
      <w:proofErr w:type="gramStart"/>
      <w:r w:rsidR="00395F32" w:rsidRPr="00395F32">
        <w:rPr>
          <w:rStyle w:val="normaltextrun"/>
          <w:rFonts w:ascii="Calibri" w:hAnsi="Calibri" w:cs="Calibri"/>
          <w:b/>
          <w:bCs/>
        </w:rPr>
        <w:t>strategies</w:t>
      </w:r>
      <w:proofErr w:type="gramEnd"/>
      <w:r w:rsidR="00395F32" w:rsidRPr="00395F32">
        <w:rPr>
          <w:rStyle w:val="normaltextrun"/>
          <w:rFonts w:ascii="Calibri" w:hAnsi="Calibri" w:cs="Calibri"/>
          <w:b/>
          <w:bCs/>
        </w:rPr>
        <w:t xml:space="preserve"> and plans</w:t>
      </w:r>
      <w:r w:rsidR="00395F32">
        <w:rPr>
          <w:rStyle w:val="normaltextrun"/>
          <w:rFonts w:ascii="Calibri" w:hAnsi="Calibri" w:cs="Calibri"/>
        </w:rPr>
        <w:t xml:space="preserve">, </w:t>
      </w:r>
      <w:r w:rsidR="000A224A">
        <w:rPr>
          <w:rStyle w:val="normaltextrun"/>
          <w:rFonts w:ascii="Calibri" w:hAnsi="Calibri" w:cs="Calibri"/>
        </w:rPr>
        <w:t>QDN recommends detailed and transparent criteria for assessing the impact of policies designed to create attitudinal change</w:t>
      </w:r>
      <w:r w:rsidR="00395F32">
        <w:rPr>
          <w:rStyle w:val="normaltextrun"/>
          <w:rFonts w:ascii="Calibri" w:hAnsi="Calibri" w:cs="Calibri"/>
        </w:rPr>
        <w:t xml:space="preserve"> across all updates to National, State and Territory strategies and agreements</w:t>
      </w:r>
      <w:r w:rsidR="000A224A">
        <w:rPr>
          <w:rStyle w:val="normaltextrun"/>
          <w:rFonts w:ascii="Calibri" w:hAnsi="Calibri" w:cs="Calibri"/>
        </w:rPr>
        <w:t xml:space="preserve">. Driving systemic and long-term attitudinal change in mainstream services remains unlikely without clear deliverables that are properly funded; monitored and measured, and transparently reported. Co-design with people with disability is imperative to </w:t>
      </w:r>
      <w:r w:rsidR="003E555F">
        <w:rPr>
          <w:rStyle w:val="normaltextrun"/>
          <w:rFonts w:ascii="Calibri" w:hAnsi="Calibri" w:cs="Calibri"/>
        </w:rPr>
        <w:t xml:space="preserve">the review </w:t>
      </w:r>
      <w:r w:rsidR="00B53184">
        <w:rPr>
          <w:rStyle w:val="normaltextrun"/>
          <w:rFonts w:ascii="Calibri" w:hAnsi="Calibri" w:cs="Calibri"/>
        </w:rPr>
        <w:t xml:space="preserve">of all </w:t>
      </w:r>
      <w:r w:rsidR="003E5C5C">
        <w:rPr>
          <w:rStyle w:val="normaltextrun"/>
          <w:rFonts w:ascii="Calibri" w:hAnsi="Calibri" w:cs="Calibri"/>
        </w:rPr>
        <w:t xml:space="preserve">agreements, </w:t>
      </w:r>
      <w:proofErr w:type="gramStart"/>
      <w:r w:rsidR="003E5C5C">
        <w:rPr>
          <w:rStyle w:val="normaltextrun"/>
          <w:rFonts w:ascii="Calibri" w:hAnsi="Calibri" w:cs="Calibri"/>
        </w:rPr>
        <w:t>strategies</w:t>
      </w:r>
      <w:proofErr w:type="gramEnd"/>
      <w:r w:rsidR="003E5C5C">
        <w:rPr>
          <w:rStyle w:val="normaltextrun"/>
          <w:rFonts w:ascii="Calibri" w:hAnsi="Calibri" w:cs="Calibri"/>
        </w:rPr>
        <w:t xml:space="preserve"> and plans</w:t>
      </w:r>
      <w:r w:rsidR="000A224A">
        <w:rPr>
          <w:rStyle w:val="normaltextrun"/>
          <w:rFonts w:ascii="Calibri" w:hAnsi="Calibri" w:cs="Calibri"/>
        </w:rPr>
        <w:t>.</w:t>
      </w:r>
    </w:p>
    <w:p w14:paraId="35117357" w14:textId="7D968054" w:rsidR="00A63DD7" w:rsidRDefault="00F36380" w:rsidP="00DE42F0">
      <w:pPr>
        <w:pStyle w:val="Heading1"/>
      </w:pPr>
      <w:bookmarkStart w:id="6" w:name="_Toc156284417"/>
      <w:r>
        <w:t>Health</w:t>
      </w:r>
      <w:bookmarkEnd w:id="6"/>
    </w:p>
    <w:p w14:paraId="13308899" w14:textId="40DBC21F" w:rsidR="00A97E82" w:rsidRPr="004B1B21" w:rsidRDefault="00A97E82" w:rsidP="00A97E82">
      <w:pPr>
        <w:rPr>
          <w:color w:val="000000"/>
        </w:rPr>
      </w:pPr>
      <w:r w:rsidRPr="004B1B21">
        <w:rPr>
          <w:color w:val="000000"/>
        </w:rPr>
        <w:t xml:space="preserve">QDN </w:t>
      </w:r>
      <w:r w:rsidR="000C1011">
        <w:rPr>
          <w:color w:val="000000"/>
        </w:rPr>
        <w:t>supports recommendations</w:t>
      </w:r>
      <w:r w:rsidR="00422973">
        <w:rPr>
          <w:color w:val="000000"/>
        </w:rPr>
        <w:t xml:space="preserve"> to improve the health and wellbeing of all people with disability. With regards to</w:t>
      </w:r>
      <w:r w:rsidRPr="004B1B21">
        <w:rPr>
          <w:color w:val="000000"/>
        </w:rPr>
        <w:t xml:space="preserve"> </w:t>
      </w:r>
      <w:r w:rsidRPr="00262992">
        <w:rPr>
          <w:b/>
          <w:bCs/>
          <w:color w:val="000000"/>
        </w:rPr>
        <w:t>Recommendation 6.30 Expand the scope of the National Centre of Excellence in Intellectual Disability Health</w:t>
      </w:r>
      <w:r w:rsidR="00422973" w:rsidRPr="0023620A">
        <w:rPr>
          <w:color w:val="000000"/>
        </w:rPr>
        <w:t>,</w:t>
      </w:r>
      <w:r w:rsidRPr="004B1B21">
        <w:rPr>
          <w:color w:val="000000"/>
        </w:rPr>
        <w:t xml:space="preserve"> </w:t>
      </w:r>
      <w:r w:rsidR="0023620A">
        <w:rPr>
          <w:color w:val="000000"/>
        </w:rPr>
        <w:t>e</w:t>
      </w:r>
      <w:r w:rsidRPr="004B1B21">
        <w:rPr>
          <w:color w:val="000000"/>
        </w:rPr>
        <w:t xml:space="preserve">xpansion of the centre would dilute outcomes </w:t>
      </w:r>
      <w:r w:rsidR="007B18DB">
        <w:rPr>
          <w:color w:val="000000"/>
        </w:rPr>
        <w:t xml:space="preserve">and be detrimental </w:t>
      </w:r>
      <w:r w:rsidRPr="004B1B21">
        <w:rPr>
          <w:color w:val="000000"/>
        </w:rPr>
        <w:t>for people with intellectual disability</w:t>
      </w:r>
      <w:r w:rsidR="00D4644F">
        <w:rPr>
          <w:color w:val="000000"/>
        </w:rPr>
        <w:t>, given their specific and complex health needs</w:t>
      </w:r>
      <w:r w:rsidR="00AF5A16">
        <w:rPr>
          <w:color w:val="000000"/>
        </w:rPr>
        <w:t>.</w:t>
      </w:r>
      <w:r w:rsidR="00D4644F">
        <w:rPr>
          <w:color w:val="000000"/>
        </w:rPr>
        <w:t xml:space="preserve"> </w:t>
      </w:r>
      <w:r w:rsidR="00AF5A16">
        <w:rPr>
          <w:color w:val="000000"/>
        </w:rPr>
        <w:t>F</w:t>
      </w:r>
      <w:r w:rsidR="00C30FEA">
        <w:rPr>
          <w:color w:val="000000"/>
        </w:rPr>
        <w:t>ocus on other cognitive disabilities whilst welcome needs to be address</w:t>
      </w:r>
      <w:r w:rsidR="008F6B8E">
        <w:rPr>
          <w:color w:val="000000"/>
        </w:rPr>
        <w:t>ed</w:t>
      </w:r>
      <w:r w:rsidR="00C30FEA">
        <w:rPr>
          <w:color w:val="000000"/>
        </w:rPr>
        <w:t xml:space="preserve"> in another way.</w:t>
      </w:r>
      <w:r>
        <w:rPr>
          <w:color w:val="000000"/>
        </w:rPr>
        <w:t xml:space="preserve"> </w:t>
      </w:r>
    </w:p>
    <w:p w14:paraId="6C711549" w14:textId="6928BA50" w:rsidR="0015192C" w:rsidRPr="00880E18" w:rsidRDefault="0015192C" w:rsidP="0061277D">
      <w:pPr>
        <w:rPr>
          <w:rFonts w:ascii="Segoe UI" w:hAnsi="Segoe UI" w:cs="Segoe UI"/>
          <w:b/>
          <w:bCs/>
          <w:sz w:val="18"/>
          <w:szCs w:val="18"/>
        </w:rPr>
      </w:pPr>
      <w:r w:rsidRPr="00880E18">
        <w:rPr>
          <w:rStyle w:val="normaltextrun"/>
          <w:rFonts w:ascii="Calibri" w:hAnsi="Calibri" w:cs="Calibri"/>
          <w:b/>
          <w:bCs/>
        </w:rPr>
        <w:t>QDN support</w:t>
      </w:r>
      <w:r w:rsidR="0096380A">
        <w:rPr>
          <w:rStyle w:val="normaltextrun"/>
          <w:rFonts w:ascii="Calibri" w:hAnsi="Calibri" w:cs="Calibri"/>
          <w:b/>
          <w:bCs/>
        </w:rPr>
        <w:t>s</w:t>
      </w:r>
      <w:r w:rsidRPr="00880E18">
        <w:rPr>
          <w:rStyle w:val="normaltextrun"/>
          <w:rFonts w:ascii="Calibri" w:hAnsi="Calibri" w:cs="Calibri"/>
          <w:b/>
          <w:bCs/>
        </w:rPr>
        <w:t xml:space="preserve"> in principle the following recommendations: </w:t>
      </w:r>
    </w:p>
    <w:p w14:paraId="15A8DD44" w14:textId="744B7150" w:rsidR="00FC062D" w:rsidRPr="004B1B21" w:rsidRDefault="00FC062D" w:rsidP="00FC062D">
      <w:r w:rsidRPr="00D837C6">
        <w:rPr>
          <w:b/>
          <w:bCs/>
        </w:rPr>
        <w:lastRenderedPageBreak/>
        <w:t>Recommendation 4.9 The right to equitable access to health services</w:t>
      </w:r>
      <w:r w:rsidR="0015192C">
        <w:t>. While QDN supports this recommendation,</w:t>
      </w:r>
      <w:r w:rsidR="00526792">
        <w:t xml:space="preserve"> an </w:t>
      </w:r>
      <w:r w:rsidRPr="004B1B21">
        <w:t>important part of this process is that people with disability have a right to access staff who have undertaken disability awareness training which is not specific enough in this recommendation.</w:t>
      </w:r>
    </w:p>
    <w:p w14:paraId="6B45497D" w14:textId="579EA593" w:rsidR="00FC062D" w:rsidRDefault="00FC062D" w:rsidP="00FC062D">
      <w:pPr>
        <w:rPr>
          <w:lang w:eastAsia="en-GB"/>
        </w:rPr>
      </w:pPr>
      <w:r w:rsidRPr="00611864">
        <w:rPr>
          <w:b/>
          <w:bCs/>
        </w:rPr>
        <w:t>Recommendation 6.20 Interpretive declaration</w:t>
      </w:r>
      <w:r w:rsidR="00FC0BE2">
        <w:t xml:space="preserve">. </w:t>
      </w:r>
      <w:r w:rsidR="00227F21">
        <w:t>T</w:t>
      </w:r>
      <w:r w:rsidRPr="004B1B21">
        <w:t>he retraction of interpretive declarations on articles 12, 17 and 18</w:t>
      </w:r>
      <w:r w:rsidRPr="00DF1C29">
        <w:rPr>
          <w:lang w:eastAsia="en-GB"/>
        </w:rPr>
        <w:t xml:space="preserve"> would assist with ending substitute decision-making, compulsory assistance or treatment, and discriminatory migration health requirements, and would be a welcome move towards equality before the law for people with disability.</w:t>
      </w:r>
    </w:p>
    <w:p w14:paraId="0D00BA4F" w14:textId="6C97E088" w:rsidR="00BB5FE8" w:rsidRPr="0060110C" w:rsidRDefault="00BB5FE8" w:rsidP="00BB5FE8">
      <w:pPr>
        <w:rPr>
          <w:b/>
          <w:bCs/>
          <w:lang w:eastAsia="en-GB"/>
        </w:rPr>
      </w:pPr>
      <w:r w:rsidRPr="00BB5FE8">
        <w:rPr>
          <w:b/>
          <w:bCs/>
          <w:lang w:eastAsia="en-GB"/>
        </w:rPr>
        <w:t>Recommendation</w:t>
      </w:r>
      <w:r w:rsidR="000C05DF" w:rsidRPr="00BB5FE8">
        <w:rPr>
          <w:b/>
          <w:bCs/>
          <w:lang w:eastAsia="en-GB"/>
        </w:rPr>
        <w:t xml:space="preserve"> 6.21 </w:t>
      </w:r>
      <w:r w:rsidRPr="00BB5FE8">
        <w:rPr>
          <w:b/>
          <w:bCs/>
          <w:lang w:eastAsia="en-GB"/>
        </w:rPr>
        <w:t>Additional funding for advocacy programs</w:t>
      </w:r>
      <w:r w:rsidR="00DA40B6">
        <w:rPr>
          <w:b/>
          <w:bCs/>
          <w:lang w:eastAsia="en-GB"/>
        </w:rPr>
        <w:t xml:space="preserve"> </w:t>
      </w:r>
      <w:r w:rsidR="0060110C">
        <w:rPr>
          <w:b/>
          <w:bCs/>
          <w:lang w:eastAsia="en-GB"/>
        </w:rPr>
        <w:br/>
      </w:r>
      <w:r w:rsidR="00DA40B6">
        <w:rPr>
          <w:b/>
          <w:bCs/>
          <w:lang w:eastAsia="en-GB"/>
        </w:rPr>
        <w:t>Recommendation 6.22 Improved data collection and reporting on met and unmet demand for disability advocacy</w:t>
      </w:r>
      <w:r w:rsidR="0060110C">
        <w:rPr>
          <w:b/>
          <w:bCs/>
          <w:lang w:eastAsia="en-GB"/>
        </w:rPr>
        <w:t xml:space="preserve"> </w:t>
      </w:r>
      <w:r w:rsidR="0060110C">
        <w:rPr>
          <w:b/>
          <w:bCs/>
          <w:lang w:eastAsia="en-GB"/>
        </w:rPr>
        <w:br/>
        <w:t xml:space="preserve">Recommendation 6.23 Culturally safe </w:t>
      </w:r>
      <w:r w:rsidR="00587D11">
        <w:rPr>
          <w:b/>
          <w:bCs/>
          <w:lang w:eastAsia="en-GB"/>
        </w:rPr>
        <w:t>disability advocacy</w:t>
      </w:r>
      <w:r>
        <w:rPr>
          <w:lang w:eastAsia="en-GB"/>
        </w:rPr>
        <w:t xml:space="preserve"> </w:t>
      </w:r>
      <w:r w:rsidR="00587D11">
        <w:rPr>
          <w:lang w:eastAsia="en-GB"/>
        </w:rPr>
        <w:br/>
      </w:r>
      <w:r>
        <w:t>QDN members have identified the importance of having access to independent, individual advocacy and support when navigating their health journey. M</w:t>
      </w:r>
      <w:r w:rsidRPr="004B1B21">
        <w:rPr>
          <w:color w:val="000000"/>
        </w:rPr>
        <w:t xml:space="preserve">embers report the need for a more holistic approach taken by navigators from the point of hospital admission through to finding safe and suitable housing when discharged. </w:t>
      </w:r>
      <w:r>
        <w:t xml:space="preserve">QDN members have also said the role of a Clinical Advocate to review and oversee care in clinical health settings would be helpful in terms of oversight and review mechanisms to improve clinical care and outcomes. </w:t>
      </w:r>
    </w:p>
    <w:p w14:paraId="6FF81594" w14:textId="77777777" w:rsidR="00BB5FE8" w:rsidRDefault="00BB5FE8" w:rsidP="00BB5FE8">
      <w:pPr>
        <w:rPr>
          <w:rStyle w:val="normaltextrun"/>
          <w:rFonts w:ascii="Calibri" w:hAnsi="Calibri" w:cs="Calibri"/>
        </w:rPr>
      </w:pPr>
      <w:r w:rsidRPr="004B1B21">
        <w:rPr>
          <w:color w:val="000000"/>
        </w:rPr>
        <w:t xml:space="preserve">Consideration should also be given to funding systemic advocacy as vital to </w:t>
      </w:r>
      <w:r>
        <w:t xml:space="preserve">broader systems reform and systems change. Systemic advocacy is critical to bring about change to deliver improved health care for people with intellectual disability. </w:t>
      </w:r>
      <w:r>
        <w:rPr>
          <w:rStyle w:val="normaltextrun"/>
          <w:rFonts w:ascii="Calibri" w:hAnsi="Calibri" w:cs="Calibri"/>
        </w:rPr>
        <w:t>The work of systemic advocacy organisations ensures government receives informed feedback on policy, including service development and delivery. Additionally, it provides a channel for government to communicate with people with disability who are often not involved in mainstream public policy discussions and development.</w:t>
      </w:r>
    </w:p>
    <w:p w14:paraId="0BB93281" w14:textId="5B42CBC6" w:rsidR="00FC062D" w:rsidRPr="00967DA9" w:rsidRDefault="00FC062D" w:rsidP="00FC062D">
      <w:pPr>
        <w:rPr>
          <w:b/>
          <w:bCs/>
          <w:color w:val="000000"/>
        </w:rPr>
      </w:pPr>
      <w:r w:rsidRPr="006406B4">
        <w:rPr>
          <w:b/>
          <w:bCs/>
          <w:color w:val="000000"/>
        </w:rPr>
        <w:t>Recommendation 6.2</w:t>
      </w:r>
      <w:r w:rsidR="00587D11">
        <w:rPr>
          <w:b/>
          <w:bCs/>
          <w:color w:val="000000"/>
        </w:rPr>
        <w:t>4</w:t>
      </w:r>
      <w:r w:rsidR="00451A04">
        <w:rPr>
          <w:b/>
          <w:bCs/>
          <w:color w:val="000000"/>
        </w:rPr>
        <w:t xml:space="preserve"> Improve implementation </w:t>
      </w:r>
      <w:r w:rsidR="008100E8">
        <w:rPr>
          <w:b/>
          <w:bCs/>
          <w:color w:val="000000"/>
        </w:rPr>
        <w:t>planning and coordination for the cognitive disability health capability framework</w:t>
      </w:r>
      <w:r w:rsidR="008100E8">
        <w:rPr>
          <w:b/>
          <w:bCs/>
          <w:color w:val="000000"/>
        </w:rPr>
        <w:br/>
        <w:t>Recommendation 6.25 Expand the scope of health workforce capability development to include all forms of cognitive disability at all stages of education and training</w:t>
      </w:r>
      <w:r w:rsidR="008100E8">
        <w:rPr>
          <w:b/>
          <w:bCs/>
          <w:color w:val="000000"/>
        </w:rPr>
        <w:br/>
        <w:t>Recommendation 6.26 Expand the role of the Health Ministers Meeting to monitor</w:t>
      </w:r>
      <w:r w:rsidR="00E608F8">
        <w:rPr>
          <w:b/>
          <w:bCs/>
          <w:color w:val="000000"/>
        </w:rPr>
        <w:t xml:space="preserve"> health workforce capability development</w:t>
      </w:r>
      <w:r w:rsidR="00E608F8">
        <w:rPr>
          <w:b/>
          <w:bCs/>
          <w:color w:val="000000"/>
        </w:rPr>
        <w:br/>
        <w:t xml:space="preserve">Recommendation 6.27 Establish regular </w:t>
      </w:r>
      <w:r w:rsidR="00967DA9">
        <w:rPr>
          <w:b/>
          <w:bCs/>
          <w:color w:val="000000"/>
        </w:rPr>
        <w:t>progress reporting by accreditation authorities</w:t>
      </w:r>
      <w:r w:rsidR="00967DA9">
        <w:rPr>
          <w:b/>
          <w:bCs/>
          <w:color w:val="000000"/>
        </w:rPr>
        <w:br/>
        <w:t>Recommendation 6.28 Improve access to clinical placements in disability health services</w:t>
      </w:r>
      <w:r w:rsidR="00967DA9">
        <w:rPr>
          <w:b/>
          <w:bCs/>
          <w:color w:val="000000"/>
        </w:rPr>
        <w:br/>
        <w:t xml:space="preserve">Recommendation </w:t>
      </w:r>
      <w:r w:rsidR="00FF0CB9" w:rsidRPr="006406B4">
        <w:rPr>
          <w:b/>
          <w:bCs/>
          <w:color w:val="000000"/>
        </w:rPr>
        <w:t>6.</w:t>
      </w:r>
      <w:r w:rsidRPr="006406B4">
        <w:rPr>
          <w:b/>
          <w:bCs/>
          <w:color w:val="000000"/>
        </w:rPr>
        <w:t>29</w:t>
      </w:r>
      <w:r w:rsidR="00FD5F93">
        <w:rPr>
          <w:b/>
          <w:bCs/>
          <w:color w:val="000000"/>
        </w:rPr>
        <w:t xml:space="preserve"> Improve specialist training and continuing professional development in cognitive disability health care</w:t>
      </w:r>
      <w:r w:rsidR="00FD5F93">
        <w:rPr>
          <w:color w:val="000000"/>
        </w:rPr>
        <w:br/>
      </w:r>
      <w:r w:rsidRPr="004B1B21">
        <w:rPr>
          <w:color w:val="000000"/>
        </w:rPr>
        <w:t xml:space="preserve">QDN members report the urgent need for improved disability awareness training, trauma-informed and person-centred approaches and greater understanding for people with disability in all health care settings. </w:t>
      </w:r>
    </w:p>
    <w:p w14:paraId="2AD54FBF" w14:textId="4082B7A1" w:rsidR="00FC062D" w:rsidRPr="004B1B21" w:rsidRDefault="00FC062D" w:rsidP="00FC062D">
      <w:pPr>
        <w:rPr>
          <w:color w:val="000000"/>
        </w:rPr>
      </w:pPr>
      <w:r w:rsidRPr="009B12C3">
        <w:rPr>
          <w:b/>
          <w:bCs/>
          <w:color w:val="000000"/>
        </w:rPr>
        <w:t>Recommendation 6.3</w:t>
      </w:r>
      <w:r w:rsidR="009D5D9B" w:rsidRPr="009B12C3">
        <w:rPr>
          <w:b/>
          <w:bCs/>
          <w:color w:val="000000"/>
        </w:rPr>
        <w:t xml:space="preserve">1 </w:t>
      </w:r>
      <w:r w:rsidR="009B12C3" w:rsidRPr="009B12C3">
        <w:rPr>
          <w:b/>
          <w:bCs/>
          <w:color w:val="000000"/>
        </w:rPr>
        <w:t>Embed the right to equitable access to health services in key policy instruments</w:t>
      </w:r>
      <w:r w:rsidR="00756C60">
        <w:rPr>
          <w:b/>
          <w:bCs/>
          <w:color w:val="000000"/>
        </w:rPr>
        <w:t xml:space="preserve">. </w:t>
      </w:r>
      <w:r w:rsidR="00756C60" w:rsidRPr="00756C60">
        <w:rPr>
          <w:color w:val="000000"/>
        </w:rPr>
        <w:t>QDN</w:t>
      </w:r>
      <w:r w:rsidR="009B12C3">
        <w:rPr>
          <w:color w:val="000000"/>
        </w:rPr>
        <w:t xml:space="preserve"> </w:t>
      </w:r>
      <w:r w:rsidR="00756C60">
        <w:rPr>
          <w:color w:val="000000"/>
        </w:rPr>
        <w:t xml:space="preserve">members </w:t>
      </w:r>
      <w:r w:rsidR="00164E9B">
        <w:rPr>
          <w:color w:val="000000"/>
        </w:rPr>
        <w:t xml:space="preserve">report urgent need for this recommendation </w:t>
      </w:r>
      <w:r w:rsidR="00C47876">
        <w:rPr>
          <w:color w:val="000000"/>
        </w:rPr>
        <w:t>in particular</w:t>
      </w:r>
      <w:r w:rsidRPr="004B1B21">
        <w:rPr>
          <w:color w:val="000000"/>
        </w:rPr>
        <w:t xml:space="preserve"> the need for people with disability to have a support person always accompany them in a health care setting and regardless of health directives </w:t>
      </w:r>
      <w:proofErr w:type="spellStart"/>
      <w:proofErr w:type="gramStart"/>
      <w:r w:rsidRPr="004B1B21">
        <w:rPr>
          <w:color w:val="000000"/>
        </w:rPr>
        <w:t>eg</w:t>
      </w:r>
      <w:proofErr w:type="spellEnd"/>
      <w:proofErr w:type="gramEnd"/>
      <w:r w:rsidRPr="004B1B21">
        <w:rPr>
          <w:color w:val="000000"/>
        </w:rPr>
        <w:t xml:space="preserve"> COVID. </w:t>
      </w:r>
    </w:p>
    <w:p w14:paraId="29F11809" w14:textId="16361C8C" w:rsidR="00FC062D" w:rsidRDefault="00FC062D" w:rsidP="00FC062D">
      <w:pPr>
        <w:rPr>
          <w:color w:val="000000"/>
        </w:rPr>
      </w:pPr>
      <w:r w:rsidRPr="000D0C1E">
        <w:rPr>
          <w:b/>
          <w:bCs/>
          <w:color w:val="000000"/>
        </w:rPr>
        <w:lastRenderedPageBreak/>
        <w:t>Recommendation 6.32</w:t>
      </w:r>
      <w:r w:rsidR="009E1278" w:rsidRPr="000D0C1E">
        <w:rPr>
          <w:b/>
          <w:bCs/>
          <w:color w:val="000000"/>
        </w:rPr>
        <w:t xml:space="preserve"> </w:t>
      </w:r>
      <w:r w:rsidR="000D0C1E" w:rsidRPr="000D0C1E">
        <w:rPr>
          <w:b/>
          <w:bCs/>
          <w:color w:val="000000"/>
        </w:rPr>
        <w:t xml:space="preserve">Increase capacity to provide supports and adaptations through improved guidance, </w:t>
      </w:r>
      <w:proofErr w:type="gramStart"/>
      <w:r w:rsidR="000D0C1E" w:rsidRPr="000D0C1E">
        <w:rPr>
          <w:b/>
          <w:bCs/>
          <w:color w:val="000000"/>
        </w:rPr>
        <w:t>funding</w:t>
      </w:r>
      <w:proofErr w:type="gramEnd"/>
      <w:r w:rsidR="000D0C1E" w:rsidRPr="000D0C1E">
        <w:rPr>
          <w:b/>
          <w:bCs/>
          <w:color w:val="000000"/>
        </w:rPr>
        <w:t xml:space="preserve"> and accessible information</w:t>
      </w:r>
      <w:r w:rsidR="000D0C1E">
        <w:rPr>
          <w:color w:val="000000"/>
        </w:rPr>
        <w:t>.</w:t>
      </w:r>
      <w:r w:rsidRPr="009E1278">
        <w:rPr>
          <w:color w:val="000000"/>
        </w:rPr>
        <w:t xml:space="preserve"> QDN</w:t>
      </w:r>
      <w:r w:rsidRPr="004B1B21">
        <w:rPr>
          <w:color w:val="000000"/>
        </w:rPr>
        <w:t xml:space="preserve"> members report an urgent need for this recommendation to roll out in hospital settings and include actions that are easy for hospital staff to implement. QDN members suggest co-designing a solution with people with disability for example a report people with disability could give to staff in any health care setting to reduce communication barriers, trauma and lives lost.</w:t>
      </w:r>
    </w:p>
    <w:p w14:paraId="2133DADA" w14:textId="0552299B" w:rsidR="00FC062D" w:rsidRDefault="00E006A7" w:rsidP="00FC062D">
      <w:r>
        <w:t>While</w:t>
      </w:r>
      <w:r w:rsidR="00FC062D">
        <w:t xml:space="preserve"> it is acknowledged that </w:t>
      </w:r>
      <w:proofErr w:type="spellStart"/>
      <w:r w:rsidR="00FC062D">
        <w:t>ehealth</w:t>
      </w:r>
      <w:proofErr w:type="spellEnd"/>
      <w:r w:rsidR="00FC062D">
        <w:t xml:space="preserve"> records and a range of clinical mechanisms to record and keep information are important, people with intellectual disability have also identified that a </w:t>
      </w:r>
      <w:proofErr w:type="gramStart"/>
      <w:r w:rsidR="00FC062D">
        <w:t>patient controlled</w:t>
      </w:r>
      <w:proofErr w:type="gramEnd"/>
      <w:r w:rsidR="00FC062D">
        <w:t xml:space="preserve"> communication tool is important, reflective of person-centred and patient-centred care principles and empowering for individuals to be more involved, and directive of their care. </w:t>
      </w:r>
    </w:p>
    <w:p w14:paraId="5D5F9EE8" w14:textId="55BE0425" w:rsidR="00FC062D" w:rsidRDefault="00FC062D" w:rsidP="00FC062D">
      <w:r>
        <w:t xml:space="preserve">There are a range of tools and resources that have been developed in different jurisdictions </w:t>
      </w:r>
      <w:r w:rsidR="000568D8">
        <w:t xml:space="preserve">including Julian’s Key in Queensland </w:t>
      </w:r>
      <w:r>
        <w:t xml:space="preserve">and it will be important going forward to consider how this can be implemented in a consistent and informed way that directly involves people with disability. </w:t>
      </w:r>
    </w:p>
    <w:p w14:paraId="1278F57D" w14:textId="5A54C3CE" w:rsidR="00FC062D" w:rsidRPr="004B1B21" w:rsidRDefault="00FC062D" w:rsidP="00FC062D">
      <w:pPr>
        <w:rPr>
          <w:color w:val="000000"/>
        </w:rPr>
      </w:pPr>
      <w:r w:rsidRPr="001B6968">
        <w:rPr>
          <w:b/>
          <w:bCs/>
          <w:color w:val="000000"/>
        </w:rPr>
        <w:t>Recommendations 6.35-6.40</w:t>
      </w:r>
      <w:r w:rsidRPr="004B1B21">
        <w:rPr>
          <w:color w:val="000000"/>
        </w:rPr>
        <w:t xml:space="preserve"> regarding the reduction and elimination of and improvements in reporting restrictive practices.</w:t>
      </w:r>
    </w:p>
    <w:p w14:paraId="39E0DC77" w14:textId="230BCE89" w:rsidR="00FC062D" w:rsidRDefault="00FC062D" w:rsidP="00FC062D">
      <w:pPr>
        <w:rPr>
          <w:color w:val="000000"/>
        </w:rPr>
      </w:pPr>
      <w:r w:rsidRPr="00F07C9B">
        <w:rPr>
          <w:b/>
          <w:bCs/>
          <w:color w:val="000000"/>
        </w:rPr>
        <w:t>Recommendation 6.41 Legislative prohibition of non-therapeutic sterilisation</w:t>
      </w:r>
      <w:r>
        <w:rPr>
          <w:color w:val="000000"/>
        </w:rPr>
        <w:t xml:space="preserve"> in recognition of the right for people with disability to make their own informed medical decisions.</w:t>
      </w:r>
    </w:p>
    <w:p w14:paraId="579D1942" w14:textId="21824951" w:rsidR="000A0327" w:rsidRDefault="008D714E" w:rsidP="00FC062D">
      <w:pPr>
        <w:rPr>
          <w:color w:val="000000"/>
        </w:rPr>
      </w:pPr>
      <w:r w:rsidRPr="00C15324">
        <w:rPr>
          <w:b/>
          <w:bCs/>
          <w:color w:val="000000"/>
        </w:rPr>
        <w:t xml:space="preserve">Recommendation </w:t>
      </w:r>
      <w:r w:rsidR="000A0327" w:rsidRPr="00C15324">
        <w:rPr>
          <w:b/>
          <w:bCs/>
          <w:color w:val="000000"/>
        </w:rPr>
        <w:t>11.14 Establishing disability death review schemes</w:t>
      </w:r>
      <w:r w:rsidR="000A0327" w:rsidRPr="00C15324">
        <w:rPr>
          <w:b/>
          <w:bCs/>
          <w:color w:val="000000"/>
        </w:rPr>
        <w:br/>
        <w:t xml:space="preserve">Recommendation 11.15 </w:t>
      </w:r>
      <w:r w:rsidR="00031659" w:rsidRPr="00C15324">
        <w:rPr>
          <w:b/>
          <w:bCs/>
          <w:color w:val="000000"/>
        </w:rPr>
        <w:t>Disability death review scheme requirements</w:t>
      </w:r>
      <w:r w:rsidR="00031659" w:rsidRPr="00C15324">
        <w:rPr>
          <w:b/>
          <w:bCs/>
          <w:color w:val="000000"/>
        </w:rPr>
        <w:br/>
        <w:t xml:space="preserve">Recommendation 11.16 </w:t>
      </w:r>
      <w:r w:rsidR="00B45A9F" w:rsidRPr="00C15324">
        <w:rPr>
          <w:b/>
          <w:bCs/>
          <w:color w:val="000000"/>
        </w:rPr>
        <w:t>National agreement on disability death reviews</w:t>
      </w:r>
      <w:r w:rsidR="00B45A9F" w:rsidRPr="00C15324">
        <w:rPr>
          <w:b/>
          <w:bCs/>
          <w:color w:val="000000"/>
        </w:rPr>
        <w:br/>
      </w:r>
      <w:r w:rsidR="005615D8">
        <w:rPr>
          <w:color w:val="000000"/>
        </w:rPr>
        <w:t xml:space="preserve">QDN members </w:t>
      </w:r>
      <w:r w:rsidR="00B74D1D">
        <w:rPr>
          <w:color w:val="000000"/>
        </w:rPr>
        <w:t xml:space="preserve">welcome improvements to </w:t>
      </w:r>
      <w:r w:rsidR="001E660C">
        <w:rPr>
          <w:color w:val="000000"/>
        </w:rPr>
        <w:t xml:space="preserve">disability death reviews and </w:t>
      </w:r>
      <w:r w:rsidR="009C2EFD">
        <w:rPr>
          <w:color w:val="000000"/>
        </w:rPr>
        <w:t xml:space="preserve">additional </w:t>
      </w:r>
      <w:r w:rsidR="00B74D1D">
        <w:rPr>
          <w:color w:val="000000"/>
        </w:rPr>
        <w:t xml:space="preserve">data collection </w:t>
      </w:r>
      <w:r w:rsidR="001E660C">
        <w:rPr>
          <w:color w:val="000000"/>
        </w:rPr>
        <w:t>that includes</w:t>
      </w:r>
      <w:r w:rsidR="00C83F0C">
        <w:rPr>
          <w:color w:val="000000"/>
        </w:rPr>
        <w:t xml:space="preserve"> t</w:t>
      </w:r>
      <w:r w:rsidR="00175AC0">
        <w:rPr>
          <w:color w:val="000000"/>
        </w:rPr>
        <w:t>he suffering and circumstances leading to a person’s death</w:t>
      </w:r>
      <w:r w:rsidR="006E7E47">
        <w:rPr>
          <w:color w:val="000000"/>
        </w:rPr>
        <w:t>.</w:t>
      </w:r>
    </w:p>
    <w:p w14:paraId="20BF9F09" w14:textId="263835D8" w:rsidR="00F36380" w:rsidRDefault="00F36380" w:rsidP="00F36380">
      <w:pPr>
        <w:pStyle w:val="Heading1"/>
      </w:pPr>
      <w:bookmarkStart w:id="7" w:name="_Toc156284418"/>
      <w:r>
        <w:t>Employment</w:t>
      </w:r>
      <w:bookmarkEnd w:id="7"/>
    </w:p>
    <w:p w14:paraId="36DFA42C" w14:textId="4132E3C9" w:rsidR="009747FD" w:rsidRPr="009747FD" w:rsidRDefault="009747FD" w:rsidP="0060712D">
      <w:pPr>
        <w:rPr>
          <w:b/>
          <w:bCs/>
        </w:rPr>
      </w:pPr>
      <w:r w:rsidRPr="009747FD">
        <w:rPr>
          <w:b/>
          <w:bCs/>
        </w:rPr>
        <w:t>QDN support</w:t>
      </w:r>
      <w:r w:rsidR="004E5441">
        <w:rPr>
          <w:b/>
          <w:bCs/>
        </w:rPr>
        <w:t>s</w:t>
      </w:r>
      <w:r w:rsidRPr="009747FD">
        <w:rPr>
          <w:b/>
          <w:bCs/>
        </w:rPr>
        <w:t xml:space="preserve"> in principle the following recommendations:</w:t>
      </w:r>
    </w:p>
    <w:p w14:paraId="077185EF" w14:textId="538A56CF" w:rsidR="0060712D" w:rsidRPr="004B1B21" w:rsidRDefault="0060712D" w:rsidP="0060712D">
      <w:r w:rsidRPr="009747FD">
        <w:rPr>
          <w:b/>
          <w:bCs/>
        </w:rPr>
        <w:t>Recommendation 7.16 Priorities for inclusion in the new Disability Employment Services model</w:t>
      </w:r>
      <w:r w:rsidRPr="004B1B21">
        <w:t>. QDN members recommend the new DES model must be co-designed with people with a diverse range of disabilities, take an intersectional approach and include people with disability living in remote and regional areas. People with disability in regional and remote areas face multiple barriers including lack of access to public transport, opportunit</w:t>
      </w:r>
      <w:r w:rsidR="007879E0">
        <w:t>ies</w:t>
      </w:r>
      <w:r w:rsidR="00DF33CD">
        <w:t>,</w:t>
      </w:r>
      <w:r w:rsidRPr="004B1B21">
        <w:t xml:space="preserve"> community support and </w:t>
      </w:r>
      <w:r w:rsidR="007879E0">
        <w:t xml:space="preserve">understanding </w:t>
      </w:r>
      <w:r w:rsidRPr="004B1B21">
        <w:t>of people with disability</w:t>
      </w:r>
      <w:r w:rsidR="007879E0">
        <w:t xml:space="preserve"> compared to those living in metropolitan areas</w:t>
      </w:r>
      <w:r w:rsidRPr="004B1B21">
        <w:t>.</w:t>
      </w:r>
    </w:p>
    <w:p w14:paraId="14AAD9BB" w14:textId="67FC88D5" w:rsidR="0060712D" w:rsidRPr="004B1B21" w:rsidRDefault="0060712D" w:rsidP="0060712D">
      <w:r w:rsidRPr="006B4078">
        <w:rPr>
          <w:b/>
          <w:bCs/>
        </w:rPr>
        <w:t>Recommendation 7.17</w:t>
      </w:r>
      <w:r w:rsidR="006B4078" w:rsidRPr="006B4078">
        <w:rPr>
          <w:b/>
          <w:bCs/>
        </w:rPr>
        <w:t xml:space="preserve"> Develop education and training resources for Disability Employment Services staff</w:t>
      </w:r>
      <w:r w:rsidRPr="004B1B21">
        <w:t xml:space="preserve">. QDN members note that there is already existing data, research and knowledge from many government, </w:t>
      </w:r>
      <w:proofErr w:type="gramStart"/>
      <w:r w:rsidRPr="004B1B21">
        <w:t>business</w:t>
      </w:r>
      <w:proofErr w:type="gramEnd"/>
      <w:r w:rsidRPr="004B1B21">
        <w:t xml:space="preserve"> and recruitment company consultations over the years to improve inclusive employment that could feed into this </w:t>
      </w:r>
      <w:r w:rsidR="007711A5">
        <w:t xml:space="preserve">and many of the </w:t>
      </w:r>
      <w:r w:rsidR="006B4078">
        <w:t xml:space="preserve">following </w:t>
      </w:r>
      <w:r w:rsidRPr="004B1B21">
        <w:t>recommendation</w:t>
      </w:r>
      <w:r w:rsidR="007711A5">
        <w:t>s</w:t>
      </w:r>
      <w:r w:rsidRPr="004B1B21">
        <w:t>. Members report that despite this already existing intel very little has been done over the past 20 years and welcome action in this space. Addressing conscious and unconscious bias in workplaces through disability awareness training is recommended by members</w:t>
      </w:r>
      <w:r w:rsidR="00DC78F1">
        <w:t>. This is</w:t>
      </w:r>
      <w:r w:rsidR="006B4078">
        <w:t xml:space="preserve"> </w:t>
      </w:r>
      <w:r w:rsidR="00021063">
        <w:t xml:space="preserve">training that has been successfully delivered by </w:t>
      </w:r>
      <w:r w:rsidR="00021063">
        <w:lastRenderedPageBreak/>
        <w:t xml:space="preserve">QDN members through the </w:t>
      </w:r>
      <w:proofErr w:type="spellStart"/>
      <w:r w:rsidR="00021063">
        <w:t>QDeNgage</w:t>
      </w:r>
      <w:proofErr w:type="spellEnd"/>
      <w:r w:rsidR="00021063">
        <w:t xml:space="preserve"> program</w:t>
      </w:r>
      <w:r w:rsidR="00DC78F1">
        <w:t xml:space="preserve"> to both government departments and private enterprise</w:t>
      </w:r>
      <w:r w:rsidRPr="004B1B21">
        <w:t>.</w:t>
      </w:r>
    </w:p>
    <w:p w14:paraId="47A024DA" w14:textId="0C36C8F1" w:rsidR="0060712D" w:rsidRPr="004B1B21" w:rsidRDefault="0060712D" w:rsidP="0060712D">
      <w:r w:rsidRPr="00680F44">
        <w:rPr>
          <w:b/>
          <w:bCs/>
        </w:rPr>
        <w:t>Recommendations 7.1</w:t>
      </w:r>
      <w:r w:rsidR="00474B61" w:rsidRPr="00680F44">
        <w:rPr>
          <w:b/>
          <w:bCs/>
        </w:rPr>
        <w:t>8</w:t>
      </w:r>
      <w:r w:rsidRPr="00680F44">
        <w:rPr>
          <w:b/>
          <w:bCs/>
        </w:rPr>
        <w:t xml:space="preserve">-7.23 </w:t>
      </w:r>
      <w:r w:rsidR="00680F44" w:rsidRPr="00680F44">
        <w:rPr>
          <w:b/>
          <w:bCs/>
        </w:rPr>
        <w:t>Increasing public sector employment for people with disability</w:t>
      </w:r>
      <w:r w:rsidR="0058578E">
        <w:t xml:space="preserve"> and </w:t>
      </w:r>
      <w:r w:rsidR="0051369D" w:rsidRPr="0051369D">
        <w:rPr>
          <w:b/>
          <w:bCs/>
        </w:rPr>
        <w:t>P</w:t>
      </w:r>
      <w:r w:rsidR="0058578E" w:rsidRPr="0051369D">
        <w:rPr>
          <w:b/>
          <w:bCs/>
        </w:rPr>
        <w:t>romoting accessibility through procurement policies</w:t>
      </w:r>
      <w:r w:rsidR="00B779A7">
        <w:rPr>
          <w:b/>
          <w:bCs/>
        </w:rPr>
        <w:t xml:space="preserve"> </w:t>
      </w:r>
      <w:r w:rsidR="00B779A7" w:rsidRPr="00B779A7">
        <w:t>n</w:t>
      </w:r>
      <w:r w:rsidRPr="004B1B21">
        <w:t xml:space="preserve">oting that the aim should be for employment targets and strategies </w:t>
      </w:r>
      <w:r w:rsidR="00B779A7">
        <w:t xml:space="preserve">to </w:t>
      </w:r>
      <w:r w:rsidRPr="004B1B21">
        <w:t>be implemented across all industries. QDN members welcome the notion of an employment passport and see this as a practical catalyst for change across all industries. An accessibility tick of approval or grading of workplace accessibility would also be beneficial.</w:t>
      </w:r>
    </w:p>
    <w:p w14:paraId="0BC746E9" w14:textId="77777777" w:rsidR="009D556B" w:rsidRDefault="0060712D" w:rsidP="0060712D">
      <w:r w:rsidRPr="008224F1">
        <w:rPr>
          <w:b/>
          <w:bCs/>
        </w:rPr>
        <w:t>Recommendation 7.30</w:t>
      </w:r>
      <w:r w:rsidR="005003A2" w:rsidRPr="008224F1">
        <w:rPr>
          <w:b/>
          <w:bCs/>
        </w:rPr>
        <w:t xml:space="preserve"> Support the transition</w:t>
      </w:r>
      <w:r w:rsidR="00DD3FB3" w:rsidRPr="008224F1">
        <w:rPr>
          <w:b/>
          <w:bCs/>
        </w:rPr>
        <w:t xml:space="preserve"> to inclusive employment</w:t>
      </w:r>
      <w:r w:rsidR="00DD3FB3" w:rsidRPr="008224F1">
        <w:rPr>
          <w:b/>
          <w:bCs/>
        </w:rPr>
        <w:br/>
      </w:r>
      <w:r w:rsidR="008224F1" w:rsidRPr="008224F1">
        <w:rPr>
          <w:b/>
          <w:bCs/>
        </w:rPr>
        <w:t xml:space="preserve">Recommendation </w:t>
      </w:r>
      <w:r w:rsidRPr="008224F1">
        <w:rPr>
          <w:b/>
          <w:bCs/>
        </w:rPr>
        <w:t>7.31</w:t>
      </w:r>
      <w:r w:rsidR="00DD3FB3" w:rsidRPr="008224F1">
        <w:rPr>
          <w:b/>
          <w:bCs/>
        </w:rPr>
        <w:t xml:space="preserve"> Raise subminimum wages</w:t>
      </w:r>
      <w:r w:rsidRPr="008224F1">
        <w:rPr>
          <w:b/>
          <w:bCs/>
        </w:rPr>
        <w:t xml:space="preserve"> </w:t>
      </w:r>
      <w:r w:rsidR="00DD3FB3" w:rsidRPr="008224F1">
        <w:rPr>
          <w:b/>
          <w:bCs/>
        </w:rPr>
        <w:br/>
      </w:r>
      <w:r w:rsidR="008224F1" w:rsidRPr="008224F1">
        <w:rPr>
          <w:b/>
          <w:bCs/>
        </w:rPr>
        <w:t xml:space="preserve">Recommendation </w:t>
      </w:r>
      <w:r w:rsidRPr="008224F1">
        <w:rPr>
          <w:b/>
          <w:bCs/>
        </w:rPr>
        <w:t>7.32</w:t>
      </w:r>
      <w:r w:rsidR="00DD3FB3" w:rsidRPr="008224F1">
        <w:rPr>
          <w:b/>
          <w:bCs/>
        </w:rPr>
        <w:t xml:space="preserve"> </w:t>
      </w:r>
      <w:r w:rsidR="008224F1" w:rsidRPr="008224F1">
        <w:rPr>
          <w:b/>
          <w:bCs/>
        </w:rPr>
        <w:t>End segregated employment by 2034</w:t>
      </w:r>
      <w:r w:rsidRPr="008224F1">
        <w:rPr>
          <w:b/>
          <w:bCs/>
        </w:rPr>
        <w:t xml:space="preserve"> </w:t>
      </w:r>
      <w:r w:rsidR="008224F1" w:rsidRPr="008224F1">
        <w:rPr>
          <w:b/>
          <w:bCs/>
        </w:rPr>
        <w:br/>
      </w:r>
      <w:r w:rsidRPr="004B1B21">
        <w:t xml:space="preserve">QDN members note that all employment settings should be integrated so for people with disability wishing to continue working in an Australian Disability Enterprise (ADE) that setting should also be integrated in a fair and equitable way. We are broadly supportive of the development of an employment roadmap however deep consultation will need to be undertaken with QDN members to comment further on a pathway towards ending segregated employment. </w:t>
      </w:r>
    </w:p>
    <w:p w14:paraId="0ECB49C6" w14:textId="35940D19" w:rsidR="0060712D" w:rsidRPr="004B1B21" w:rsidRDefault="0060712D" w:rsidP="0060712D">
      <w:r w:rsidRPr="004B1B21">
        <w:t xml:space="preserve">QDN members strongly support raising of subminimum wages however recommend that this be achieved within a shorter timeframe to reduce the level of exploitation experienced by many people with disability. </w:t>
      </w:r>
      <w:r w:rsidR="00E12559">
        <w:t xml:space="preserve">In addition to this </w:t>
      </w:r>
      <w:r w:rsidR="000F0A02">
        <w:t xml:space="preserve">the </w:t>
      </w:r>
      <w:r w:rsidR="00A066CB">
        <w:t>super</w:t>
      </w:r>
      <w:r w:rsidR="0024402B">
        <w:t>a</w:t>
      </w:r>
      <w:r w:rsidR="00A066CB">
        <w:t>nnuation rate</w:t>
      </w:r>
      <w:r w:rsidR="000F0A02">
        <w:t xml:space="preserve"> </w:t>
      </w:r>
      <w:r w:rsidR="009C24E5">
        <w:t xml:space="preserve">of 9.5% in the Supported Employment Services Award 2020 </w:t>
      </w:r>
      <w:r w:rsidR="00A066CB">
        <w:t xml:space="preserve">for people with disability </w:t>
      </w:r>
      <w:r w:rsidR="009C24E5">
        <w:t>must be raised</w:t>
      </w:r>
      <w:r w:rsidR="0024402B">
        <w:t xml:space="preserve"> to 11%</w:t>
      </w:r>
      <w:r w:rsidR="00556438">
        <w:t xml:space="preserve"> </w:t>
      </w:r>
      <w:r w:rsidR="007D7EA1">
        <w:t>and continue to increase to reach 12% by 2025 in line with the national superannuation guarantee</w:t>
      </w:r>
      <w:r w:rsidR="0024402B">
        <w:t>.</w:t>
      </w:r>
    </w:p>
    <w:p w14:paraId="379AFC9D" w14:textId="5E846460" w:rsidR="00F36380" w:rsidRPr="00F36380" w:rsidRDefault="00F36380" w:rsidP="00F36380">
      <w:pPr>
        <w:pStyle w:val="Heading1"/>
      </w:pPr>
      <w:bookmarkStart w:id="8" w:name="_Toc156284419"/>
      <w:r>
        <w:t>Housing</w:t>
      </w:r>
      <w:bookmarkEnd w:id="8"/>
    </w:p>
    <w:p w14:paraId="3CB589C9" w14:textId="77777777" w:rsidR="00282589" w:rsidRPr="004B1B21" w:rsidRDefault="00282589" w:rsidP="00282589">
      <w:r w:rsidRPr="004B1B21">
        <w:t xml:space="preserve">QDN members are unanimous that accessible housing is a human right and all people with disability should be prioritised regardless of age or access to the NDIS. Members also note that housing isn’t just a Department of Housing </w:t>
      </w:r>
      <w:proofErr w:type="gramStart"/>
      <w:r w:rsidRPr="004B1B21">
        <w:t>issue</w:t>
      </w:r>
      <w:proofErr w:type="gramEnd"/>
      <w:r w:rsidRPr="004B1B21">
        <w:t xml:space="preserve"> and that funding, strategies and action should be a priority for other departments including, but not limited to, health, education and employment.</w:t>
      </w:r>
    </w:p>
    <w:p w14:paraId="405628F8" w14:textId="3651BED0" w:rsidR="00282589" w:rsidRPr="00D060CB" w:rsidRDefault="00282589" w:rsidP="00282589">
      <w:pPr>
        <w:rPr>
          <w:b/>
          <w:bCs/>
        </w:rPr>
      </w:pPr>
      <w:r w:rsidRPr="00D060CB">
        <w:rPr>
          <w:b/>
          <w:bCs/>
        </w:rPr>
        <w:t xml:space="preserve">QDN </w:t>
      </w:r>
      <w:r w:rsidR="004E5441">
        <w:rPr>
          <w:b/>
          <w:bCs/>
        </w:rPr>
        <w:t>supports</w:t>
      </w:r>
      <w:r w:rsidRPr="00D060CB">
        <w:rPr>
          <w:b/>
          <w:bCs/>
        </w:rPr>
        <w:t xml:space="preserve"> in principle with all recommendations relating to housing with consideration of the following:</w:t>
      </w:r>
    </w:p>
    <w:p w14:paraId="5D859DD1" w14:textId="5FE5FAEB" w:rsidR="00282589" w:rsidRPr="004B1B21" w:rsidRDefault="00282589" w:rsidP="00282589">
      <w:r w:rsidRPr="00FB4BB6">
        <w:rPr>
          <w:b/>
          <w:bCs/>
        </w:rPr>
        <w:t>Recommendation 7.35</w:t>
      </w:r>
      <w:r w:rsidR="00BE15C3" w:rsidRPr="00FB4BB6">
        <w:rPr>
          <w:b/>
          <w:bCs/>
        </w:rPr>
        <w:t xml:space="preserve"> Increase the availability and supply of accessible and adaptive housing for people with disability through the National Construction Code</w:t>
      </w:r>
      <w:r w:rsidR="00FB4BB6">
        <w:t>.</w:t>
      </w:r>
      <w:r w:rsidRPr="004B1B21">
        <w:t xml:space="preserve"> </w:t>
      </w:r>
      <w:r w:rsidR="00FB4BB6">
        <w:t xml:space="preserve">QDN </w:t>
      </w:r>
      <w:r w:rsidRPr="004B1B21">
        <w:t xml:space="preserve">members </w:t>
      </w:r>
      <w:r w:rsidR="00FB4BB6">
        <w:t>urge</w:t>
      </w:r>
      <w:r w:rsidRPr="004B1B21">
        <w:t xml:space="preserve"> that all accessible housing needs to be improved to gold standard. QDN members also request alternative housing options that are easier and more affordable be considered rather than retrofitting or demolishing and rebuilding. Members note many instances of accessible housing being inaccessible and located in inaccessible communities. They request more collaboration between people with disability, peak bodies, developers, investors, state government and local councils to provide safe and suitable housing.</w:t>
      </w:r>
    </w:p>
    <w:p w14:paraId="415D12DD" w14:textId="031C82C9" w:rsidR="00282589" w:rsidRPr="004B1B21" w:rsidRDefault="00282589" w:rsidP="00282589">
      <w:r w:rsidRPr="001E014C">
        <w:rPr>
          <w:b/>
          <w:bCs/>
        </w:rPr>
        <w:t xml:space="preserve">Recommendation 7.36 </w:t>
      </w:r>
      <w:r w:rsidR="001E014C" w:rsidRPr="001E014C">
        <w:rPr>
          <w:b/>
          <w:bCs/>
        </w:rPr>
        <w:t>Improve social housing operational policy and processes</w:t>
      </w:r>
      <w:r w:rsidR="001E014C">
        <w:t>. QDN</w:t>
      </w:r>
      <w:r w:rsidRPr="004B1B21">
        <w:t xml:space="preserve"> members </w:t>
      </w:r>
      <w:r w:rsidR="001E014C">
        <w:t>request</w:t>
      </w:r>
      <w:r w:rsidRPr="004B1B21">
        <w:t xml:space="preserve"> that social housing operational policies and processes need to be urgently reviewed and improved.</w:t>
      </w:r>
    </w:p>
    <w:p w14:paraId="3859B130" w14:textId="479A9660" w:rsidR="00694E78" w:rsidRDefault="00EC288D" w:rsidP="000353F8">
      <w:r>
        <w:rPr>
          <w:b/>
          <w:bCs/>
        </w:rPr>
        <w:lastRenderedPageBreak/>
        <w:t xml:space="preserve">Recommendation 7.37 </w:t>
      </w:r>
      <w:r w:rsidR="00A82047">
        <w:rPr>
          <w:b/>
          <w:bCs/>
        </w:rPr>
        <w:t>Increase tenancy and occupancy protections for people with disability</w:t>
      </w:r>
      <w:r>
        <w:rPr>
          <w:b/>
          <w:bCs/>
        </w:rPr>
        <w:br/>
      </w:r>
      <w:r w:rsidR="00282589" w:rsidRPr="0050095F">
        <w:rPr>
          <w:b/>
          <w:bCs/>
        </w:rPr>
        <w:t>Recommendation 7.38</w:t>
      </w:r>
      <w:r w:rsidR="00517C79" w:rsidRPr="0050095F">
        <w:rPr>
          <w:b/>
          <w:bCs/>
        </w:rPr>
        <w:t xml:space="preserve"> Minimum service standards and monitoring and oversight of supported residential </w:t>
      </w:r>
      <w:r w:rsidR="00B770E8" w:rsidRPr="0050095F">
        <w:rPr>
          <w:b/>
          <w:bCs/>
        </w:rPr>
        <w:t>services and their equivalents</w:t>
      </w:r>
      <w:r w:rsidR="00463232">
        <w:rPr>
          <w:b/>
          <w:bCs/>
        </w:rPr>
        <w:br/>
      </w:r>
      <w:r w:rsidR="000353F8" w:rsidRPr="004E5588">
        <w:t xml:space="preserve">QDN meets </w:t>
      </w:r>
      <w:r w:rsidR="000353F8" w:rsidRPr="005871EF">
        <w:t>regularly</w:t>
      </w:r>
      <w:r w:rsidR="000353F8" w:rsidRPr="004E5588">
        <w:t xml:space="preserve"> with </w:t>
      </w:r>
      <w:r w:rsidR="000353F8">
        <w:t xml:space="preserve">Supported Accommodation </w:t>
      </w:r>
      <w:r w:rsidR="00F242F4">
        <w:t>Providers Association (</w:t>
      </w:r>
      <w:r w:rsidR="000353F8" w:rsidRPr="004E5588">
        <w:t>SAPA</w:t>
      </w:r>
      <w:r w:rsidR="00F242F4">
        <w:t xml:space="preserve">) </w:t>
      </w:r>
      <w:r w:rsidR="000353F8" w:rsidRPr="004E5588">
        <w:t xml:space="preserve">representatives </w:t>
      </w:r>
      <w:r w:rsidR="00F242F4">
        <w:t xml:space="preserve">in Queensland </w:t>
      </w:r>
      <w:r w:rsidR="000353F8" w:rsidRPr="004E5588">
        <w:t xml:space="preserve">to ensure collaborative relationships and build trust in working to ensure tenants in </w:t>
      </w:r>
      <w:r w:rsidR="006B6230">
        <w:t>L</w:t>
      </w:r>
      <w:r w:rsidR="00F242F4">
        <w:t xml:space="preserve">evel 3 </w:t>
      </w:r>
      <w:r w:rsidR="000353F8" w:rsidRPr="004E5588">
        <w:t xml:space="preserve">residential services have access to appropriate safeguards and raise awareness. </w:t>
      </w:r>
      <w:r w:rsidR="00ED2BC9">
        <w:t xml:space="preserve">QDN </w:t>
      </w:r>
      <w:r w:rsidR="00846365">
        <w:t>has engaged</w:t>
      </w:r>
      <w:r w:rsidR="00ED2BC9">
        <w:t xml:space="preserve"> with resident</w:t>
      </w:r>
      <w:r w:rsidR="006A1712">
        <w:t>s</w:t>
      </w:r>
      <w:r w:rsidR="00ED2BC9">
        <w:t xml:space="preserve"> of </w:t>
      </w:r>
      <w:r w:rsidR="006A1712">
        <w:t>Level 3 facilities regularly</w:t>
      </w:r>
      <w:r w:rsidR="00846365">
        <w:t xml:space="preserve"> since the introduction of the NDIS to build capacity and more recently raise awareness of the </w:t>
      </w:r>
      <w:r w:rsidR="00694E78">
        <w:t xml:space="preserve">Queensland Parliamentary Inquiry into Supported Accommodation. </w:t>
      </w:r>
    </w:p>
    <w:p w14:paraId="35207C73" w14:textId="5A9039FE" w:rsidR="00FC434F" w:rsidRDefault="00D1549D" w:rsidP="000353F8">
      <w:r>
        <w:t xml:space="preserve">QDN supports </w:t>
      </w:r>
      <w:r w:rsidR="00155FC7">
        <w:t>recommendations relating to Level 3 facilities</w:t>
      </w:r>
      <w:r w:rsidR="00F16F06">
        <w:t xml:space="preserve"> including those </w:t>
      </w:r>
      <w:r w:rsidR="00006479">
        <w:t>recommending the separation of</w:t>
      </w:r>
      <w:r w:rsidR="00F16F06">
        <w:t xml:space="preserve"> supported accommodation and </w:t>
      </w:r>
      <w:r w:rsidR="00E92208">
        <w:t xml:space="preserve">NDIS </w:t>
      </w:r>
      <w:r w:rsidR="00F16F06">
        <w:t>services</w:t>
      </w:r>
      <w:r w:rsidR="00E92208">
        <w:t xml:space="preserve"> to </w:t>
      </w:r>
      <w:r w:rsidR="00006479">
        <w:t>eliminate</w:t>
      </w:r>
      <w:r w:rsidR="00E92208">
        <w:t xml:space="preserve"> conflict of interest</w:t>
      </w:r>
      <w:r w:rsidR="00F16F06">
        <w:t>.</w:t>
      </w:r>
      <w:r w:rsidR="00155FC7">
        <w:t xml:space="preserve"> </w:t>
      </w:r>
      <w:r w:rsidR="00E92208">
        <w:t>In addition</w:t>
      </w:r>
      <w:r w:rsidR="00F01A35">
        <w:t xml:space="preserve"> to the minimum standards listed in Recommendation 7.38</w:t>
      </w:r>
      <w:r w:rsidR="00E92208">
        <w:t xml:space="preserve">, QDN </w:t>
      </w:r>
      <w:r w:rsidR="004C2930">
        <w:t xml:space="preserve">also </w:t>
      </w:r>
      <w:r w:rsidR="00F01A35">
        <w:t>recommends</w:t>
      </w:r>
      <w:r w:rsidR="009432B3">
        <w:t xml:space="preserve"> the following</w:t>
      </w:r>
      <w:r w:rsidR="00155FC7">
        <w:t xml:space="preserve">: </w:t>
      </w:r>
    </w:p>
    <w:p w14:paraId="25663484" w14:textId="77777777" w:rsidR="00C61988" w:rsidRDefault="003B75F8" w:rsidP="00FC434F">
      <w:pPr>
        <w:pStyle w:val="ListParagraph"/>
        <w:numPr>
          <w:ilvl w:val="0"/>
          <w:numId w:val="28"/>
        </w:numPr>
      </w:pPr>
      <w:r>
        <w:t xml:space="preserve">Address the need for </w:t>
      </w:r>
      <w:r w:rsidR="00C61988">
        <w:t xml:space="preserve">targeted funding for residents without disability-specific funded </w:t>
      </w:r>
      <w:proofErr w:type="gramStart"/>
      <w:r w:rsidR="00C61988">
        <w:t>supports</w:t>
      </w:r>
      <w:proofErr w:type="gramEnd"/>
    </w:p>
    <w:p w14:paraId="281587EE" w14:textId="77777777" w:rsidR="00C61988" w:rsidRDefault="00C61988" w:rsidP="00FC434F">
      <w:pPr>
        <w:pStyle w:val="ListParagraph"/>
        <w:numPr>
          <w:ilvl w:val="0"/>
          <w:numId w:val="28"/>
        </w:numPr>
      </w:pPr>
      <w:r>
        <w:t xml:space="preserve">NDIS funding, supports and service provision better align with resident </w:t>
      </w:r>
      <w:proofErr w:type="gramStart"/>
      <w:r>
        <w:t>needs</w:t>
      </w:r>
      <w:proofErr w:type="gramEnd"/>
    </w:p>
    <w:p w14:paraId="7128B6F8" w14:textId="7F4FAEBF" w:rsidR="000353F8" w:rsidRDefault="002F2F4D" w:rsidP="00FC434F">
      <w:pPr>
        <w:pStyle w:val="ListParagraph"/>
        <w:numPr>
          <w:ilvl w:val="0"/>
          <w:numId w:val="28"/>
        </w:numPr>
      </w:pPr>
      <w:r>
        <w:t xml:space="preserve">Improve digital literacy skills of residents </w:t>
      </w:r>
      <w:r w:rsidR="00115E6E">
        <w:t xml:space="preserve">through access to devices and capacity building providing a pathway to services and vocational </w:t>
      </w:r>
      <w:proofErr w:type="gramStart"/>
      <w:r w:rsidR="00115E6E">
        <w:t>opportunities</w:t>
      </w:r>
      <w:proofErr w:type="gramEnd"/>
    </w:p>
    <w:p w14:paraId="23038477" w14:textId="041A9F5F" w:rsidR="00CA1CD6" w:rsidRDefault="00C31B7C" w:rsidP="00FC434F">
      <w:pPr>
        <w:pStyle w:val="ListParagraph"/>
        <w:numPr>
          <w:ilvl w:val="0"/>
          <w:numId w:val="28"/>
        </w:numPr>
      </w:pPr>
      <w:r>
        <w:t xml:space="preserve">Capacity building </w:t>
      </w:r>
      <w:r w:rsidR="009A7493">
        <w:t>be included in s</w:t>
      </w:r>
      <w:r w:rsidR="003C2E6E">
        <w:t xml:space="preserve">upport plans </w:t>
      </w:r>
      <w:r>
        <w:t>for residents</w:t>
      </w:r>
      <w:r w:rsidR="00F01A35">
        <w:t>.</w:t>
      </w:r>
    </w:p>
    <w:p w14:paraId="426DC8C2" w14:textId="59165669" w:rsidR="00282589" w:rsidRPr="00463232" w:rsidRDefault="00B770E8" w:rsidP="00282589">
      <w:pPr>
        <w:rPr>
          <w:b/>
          <w:bCs/>
        </w:rPr>
      </w:pPr>
      <w:r w:rsidRPr="0050095F">
        <w:rPr>
          <w:b/>
          <w:bCs/>
        </w:rPr>
        <w:br/>
        <w:t>Recommendation 7.39 Preventing homelessness when people with disability transition from service or institutional settings</w:t>
      </w:r>
      <w:r w:rsidRPr="0050095F">
        <w:rPr>
          <w:b/>
          <w:bCs/>
        </w:rPr>
        <w:br/>
      </w:r>
      <w:r w:rsidR="0050095F" w:rsidRPr="0050095F">
        <w:rPr>
          <w:b/>
          <w:bCs/>
        </w:rPr>
        <w:t>Recommendation</w:t>
      </w:r>
      <w:r w:rsidR="000143DA" w:rsidRPr="0050095F">
        <w:rPr>
          <w:b/>
          <w:bCs/>
        </w:rPr>
        <w:t xml:space="preserve"> 7.40 Address homelessness for people with disability in the National Housing and Homelessness Plan</w:t>
      </w:r>
      <w:r w:rsidR="000143DA" w:rsidRPr="0050095F">
        <w:rPr>
          <w:b/>
          <w:bCs/>
        </w:rPr>
        <w:br/>
        <w:t xml:space="preserve">Recommendation 7.41 Group </w:t>
      </w:r>
      <w:r w:rsidR="0050095F" w:rsidRPr="0050095F">
        <w:rPr>
          <w:b/>
          <w:bCs/>
        </w:rPr>
        <w:t>home reform</w:t>
      </w:r>
      <w:r w:rsidR="0050095F" w:rsidRPr="0050095F">
        <w:rPr>
          <w:b/>
          <w:bCs/>
        </w:rPr>
        <w:br/>
        <w:t>Recommendation 7.42 Improve access to alternative housing options</w:t>
      </w:r>
      <w:r w:rsidR="00517C79" w:rsidRPr="0050095F">
        <w:rPr>
          <w:b/>
          <w:bCs/>
        </w:rPr>
        <w:br/>
      </w:r>
      <w:r w:rsidR="00282589" w:rsidRPr="004B1B21">
        <w:t>People with disability are at higher risk of homelessness and this needs to be addressed as a priority. QDN members specifically highlight the following be addressed in relation to these recommendations:</w:t>
      </w:r>
    </w:p>
    <w:p w14:paraId="08BB80C3" w14:textId="42EAC0AB" w:rsidR="00282589" w:rsidRPr="004B1B21" w:rsidRDefault="00282589" w:rsidP="00282589">
      <w:pPr>
        <w:pStyle w:val="ListParagraph"/>
        <w:numPr>
          <w:ilvl w:val="0"/>
          <w:numId w:val="29"/>
        </w:numPr>
        <w:spacing w:after="0" w:line="240" w:lineRule="auto"/>
      </w:pPr>
      <w:r w:rsidRPr="004B1B21">
        <w:t>Advocacy for independent living in particular the transition out of hospital and into safe and appropriate housing</w:t>
      </w:r>
      <w:r w:rsidR="002E3593">
        <w:t xml:space="preserve"> and targeted specialist support to meet key barriers of lack of integration</w:t>
      </w:r>
      <w:r w:rsidRPr="004B1B21">
        <w:t>.</w:t>
      </w:r>
    </w:p>
    <w:p w14:paraId="1C477ADB" w14:textId="77777777" w:rsidR="00282589" w:rsidRPr="004B1B21" w:rsidRDefault="00282589" w:rsidP="00282589">
      <w:pPr>
        <w:pStyle w:val="ListParagraph"/>
        <w:numPr>
          <w:ilvl w:val="0"/>
          <w:numId w:val="29"/>
        </w:numPr>
        <w:spacing w:after="0" w:line="240" w:lineRule="auto"/>
      </w:pPr>
      <w:r w:rsidRPr="004B1B21">
        <w:t xml:space="preserve">Support for people with disability transitioning out of group homes and into other housing including appropriate NDIS supports, financial literacy support and capacity building. </w:t>
      </w:r>
    </w:p>
    <w:p w14:paraId="7D40D801" w14:textId="77777777" w:rsidR="00282589" w:rsidRPr="004B1B21" w:rsidRDefault="00282589" w:rsidP="00282589">
      <w:pPr>
        <w:pStyle w:val="ListParagraph"/>
        <w:numPr>
          <w:ilvl w:val="0"/>
          <w:numId w:val="29"/>
        </w:numPr>
        <w:spacing w:after="0" w:line="240" w:lineRule="auto"/>
      </w:pPr>
      <w:r w:rsidRPr="004B1B21">
        <w:t xml:space="preserve">Inclusion of people with disability in co-design processes at all stages of accessible housing development and building standards processes. </w:t>
      </w:r>
    </w:p>
    <w:p w14:paraId="3BABA443" w14:textId="77777777" w:rsidR="00282589" w:rsidRPr="004B1B21" w:rsidRDefault="00282589" w:rsidP="00282589">
      <w:pPr>
        <w:pStyle w:val="ListParagraph"/>
        <w:numPr>
          <w:ilvl w:val="0"/>
          <w:numId w:val="29"/>
        </w:numPr>
        <w:spacing w:after="0" w:line="240" w:lineRule="auto"/>
      </w:pPr>
      <w:r w:rsidRPr="004B1B21">
        <w:t>A review of Supported Disability Accommodation (SDA) guidelines/model to reduce conflict of interest with Supported Independent Living (SIL) services.</w:t>
      </w:r>
      <w:r>
        <w:t xml:space="preserve"> QDN asserts it is important to protect the participant from a provider conflict of interest where the provider of SDA is also the provider for SIL. Further, where SDA and SIL are provided by different service providers, participants are also less likely to experience violence, abuse, </w:t>
      </w:r>
      <w:proofErr w:type="gramStart"/>
      <w:r>
        <w:t>neglect</w:t>
      </w:r>
      <w:proofErr w:type="gramEnd"/>
      <w:r>
        <w:t xml:space="preserve"> and exploitation and are more likely to be empowered to raise concerns about what is not working for them. QDN strongly recommends that accommodation, SIL, and other supports such as capacity building and community participation are provided by different service providers for these reasons.</w:t>
      </w:r>
    </w:p>
    <w:p w14:paraId="3B8C18FF" w14:textId="77777777" w:rsidR="00D92CCE" w:rsidRDefault="00D92CCE" w:rsidP="00282589">
      <w:pPr>
        <w:rPr>
          <w:b/>
          <w:bCs/>
        </w:rPr>
      </w:pPr>
    </w:p>
    <w:p w14:paraId="7AD9D5BB" w14:textId="40713106" w:rsidR="00282589" w:rsidRDefault="00780DB1" w:rsidP="00282589">
      <w:r w:rsidRPr="00780DB1">
        <w:rPr>
          <w:b/>
          <w:bCs/>
        </w:rPr>
        <w:lastRenderedPageBreak/>
        <w:t xml:space="preserve">Recommendation </w:t>
      </w:r>
      <w:r w:rsidR="00282589" w:rsidRPr="00780DB1">
        <w:rPr>
          <w:b/>
          <w:bCs/>
        </w:rPr>
        <w:t xml:space="preserve">7.43 </w:t>
      </w:r>
      <w:r w:rsidRPr="00780DB1">
        <w:rPr>
          <w:b/>
          <w:bCs/>
        </w:rPr>
        <w:t>A roadmap to phase out group homes</w:t>
      </w:r>
      <w:r>
        <w:rPr>
          <w:b/>
          <w:bCs/>
        </w:rPr>
        <w:t xml:space="preserve">. </w:t>
      </w:r>
      <w:r w:rsidR="00282589">
        <w:t xml:space="preserve">QDN </w:t>
      </w:r>
      <w:r w:rsidR="00EA2595">
        <w:t>supports</w:t>
      </w:r>
      <w:r w:rsidR="00282589">
        <w:t xml:space="preserve"> policy reform to </w:t>
      </w:r>
      <w:r w:rsidR="00282589" w:rsidRPr="00EC7A23">
        <w:t>end</w:t>
      </w:r>
      <w:r w:rsidR="00282589">
        <w:t xml:space="preserve"> the group home model and to give real choice and control to people with disability who need supported accommodation whether under the NDIS or not. </w:t>
      </w:r>
      <w:r w:rsidR="00515C28">
        <w:t xml:space="preserve">It is important for people with disability to have choice, control, </w:t>
      </w:r>
      <w:proofErr w:type="gramStart"/>
      <w:r w:rsidR="00515C28">
        <w:t>rights</w:t>
      </w:r>
      <w:proofErr w:type="gramEnd"/>
      <w:r w:rsidR="00515C28">
        <w:t xml:space="preserve"> and inclusion in where they live and with whom. </w:t>
      </w:r>
      <w:r w:rsidR="00282589">
        <w:t>Best practice accommodation options include models that are socially inclusive with self-directed support options and are based on the premise that people with disability are unique and rightly want and deserve a lifestyle that respects their individuality.</w:t>
      </w:r>
    </w:p>
    <w:p w14:paraId="403AF180" w14:textId="4280C892" w:rsidR="00282589" w:rsidRDefault="00282589" w:rsidP="00282589">
      <w:r>
        <w:t xml:space="preserve">As per </w:t>
      </w:r>
      <w:r w:rsidRPr="00D060CB">
        <w:t>QDN’s response to the DRC Group Homes Issues Paper, it</w:t>
      </w:r>
      <w:r>
        <w:t xml:space="preserve"> is informed by QDN members who live in group homes and those who have a deep understanding of the historical context of people with disability living in systems where they have limited choice and control to determine the direction of their own lives.</w:t>
      </w:r>
    </w:p>
    <w:p w14:paraId="304FA30D" w14:textId="47A79B7B" w:rsidR="00282589" w:rsidRDefault="000526B7" w:rsidP="00282589">
      <w:r w:rsidRPr="00AE0FD7">
        <w:rPr>
          <w:b/>
          <w:bCs/>
        </w:rPr>
        <w:t xml:space="preserve">Recommendation </w:t>
      </w:r>
      <w:r w:rsidR="00282589" w:rsidRPr="00AE0FD7">
        <w:rPr>
          <w:b/>
          <w:bCs/>
        </w:rPr>
        <w:t>7.44</w:t>
      </w:r>
      <w:r w:rsidRPr="00AE0FD7">
        <w:rPr>
          <w:b/>
          <w:bCs/>
        </w:rPr>
        <w:t xml:space="preserve"> A roadmap to phase out group homes over a generational timeframe</w:t>
      </w:r>
      <w:r>
        <w:t xml:space="preserve">. QDN </w:t>
      </w:r>
      <w:r w:rsidRPr="00F411C6">
        <w:rPr>
          <w:b/>
          <w:bCs/>
        </w:rPr>
        <w:t>disagrees</w:t>
      </w:r>
      <w:r>
        <w:t xml:space="preserve"> with th</w:t>
      </w:r>
      <w:r w:rsidR="00AE0FD7">
        <w:t>is recommendation. Even with the immediate commitments cited in the recommendation, a generational timeframe is too long.</w:t>
      </w:r>
    </w:p>
    <w:p w14:paraId="7AA97367" w14:textId="77777777" w:rsidR="00282589" w:rsidRDefault="00282589" w:rsidP="00282589">
      <w:pPr>
        <w:pStyle w:val="Heading1"/>
      </w:pPr>
      <w:bookmarkStart w:id="9" w:name="_Toc44074829"/>
      <w:bookmarkStart w:id="10" w:name="_Toc156284420"/>
      <w:bookmarkStart w:id="11" w:name="_Toc22562007"/>
      <w:r>
        <w:t>Conclusion</w:t>
      </w:r>
      <w:bookmarkEnd w:id="9"/>
      <w:bookmarkEnd w:id="10"/>
      <w:r>
        <w:t xml:space="preserve"> </w:t>
      </w:r>
    </w:p>
    <w:bookmarkEnd w:id="11"/>
    <w:p w14:paraId="1322D11A" w14:textId="59720BCA" w:rsidR="00A63DD7" w:rsidRDefault="00800335" w:rsidP="00DE42F0">
      <w:r>
        <w:rPr>
          <w:rStyle w:val="normaltextrun"/>
          <w:rFonts w:ascii="Calibri" w:hAnsi="Calibri" w:cs="Calibri"/>
          <w:color w:val="000000"/>
          <w:shd w:val="clear" w:color="auto" w:fill="FFFFFF"/>
        </w:rPr>
        <w:t xml:space="preserve">QDN acknowledges that people with disability have historically experienced abuse, neglect, </w:t>
      </w:r>
      <w:proofErr w:type="gramStart"/>
      <w:r>
        <w:rPr>
          <w:rStyle w:val="normaltextrun"/>
          <w:rFonts w:ascii="Calibri" w:hAnsi="Calibri" w:cs="Calibri"/>
          <w:color w:val="000000"/>
          <w:shd w:val="clear" w:color="auto" w:fill="FFFFFF"/>
        </w:rPr>
        <w:t>exploitation</w:t>
      </w:r>
      <w:proofErr w:type="gramEnd"/>
      <w:r>
        <w:rPr>
          <w:rStyle w:val="normaltextrun"/>
          <w:rFonts w:ascii="Calibri" w:hAnsi="Calibri" w:cs="Calibri"/>
          <w:color w:val="000000"/>
          <w:shd w:val="clear" w:color="auto" w:fill="FFFFFF"/>
        </w:rPr>
        <w:t xml:space="preserve"> and violence when accessing a range of services and acknowledges the impact that this has had on individual’s lives, which continues today. QDN strongly supports reform and change that leads to improved </w:t>
      </w:r>
      <w:r w:rsidR="00B70A30">
        <w:rPr>
          <w:rStyle w:val="normaltextrun"/>
          <w:rFonts w:ascii="Calibri" w:hAnsi="Calibri" w:cs="Calibri"/>
          <w:color w:val="000000"/>
          <w:shd w:val="clear" w:color="auto" w:fill="FFFFFF"/>
        </w:rPr>
        <w:t xml:space="preserve">lives for people with disability and commends the work of the </w:t>
      </w:r>
      <w:r w:rsidR="00220A72">
        <w:rPr>
          <w:rStyle w:val="normaltextrun"/>
          <w:rFonts w:ascii="Calibri" w:hAnsi="Calibri" w:cs="Calibri"/>
          <w:color w:val="000000"/>
          <w:shd w:val="clear" w:color="auto" w:fill="FFFFFF"/>
        </w:rPr>
        <w:t>DRC</w:t>
      </w:r>
      <w:r>
        <w:rPr>
          <w:rStyle w:val="normaltextrun"/>
          <w:rFonts w:ascii="Calibri" w:hAnsi="Calibri" w:cs="Calibri"/>
          <w:color w:val="000000"/>
          <w:shd w:val="clear" w:color="auto" w:fill="FFFFFF"/>
        </w:rPr>
        <w:t>.</w:t>
      </w:r>
      <w:r w:rsidR="00E44781">
        <w:rPr>
          <w:rStyle w:val="normaltextrun"/>
          <w:rFonts w:ascii="Calibri" w:hAnsi="Calibri" w:cs="Calibri"/>
          <w:color w:val="000000"/>
          <w:shd w:val="clear" w:color="auto" w:fill="FFFFFF"/>
        </w:rPr>
        <w:t xml:space="preserve"> QDN and its members </w:t>
      </w:r>
      <w:r w:rsidR="00590EA2">
        <w:rPr>
          <w:rStyle w:val="normaltextrun"/>
          <w:rFonts w:ascii="Calibri" w:hAnsi="Calibri" w:cs="Calibri"/>
          <w:color w:val="000000"/>
          <w:shd w:val="clear" w:color="auto" w:fill="FFFFFF"/>
        </w:rPr>
        <w:t xml:space="preserve">strongly </w:t>
      </w:r>
      <w:r w:rsidR="00E44781">
        <w:rPr>
          <w:rStyle w:val="normaltextrun"/>
          <w:rFonts w:ascii="Calibri" w:hAnsi="Calibri" w:cs="Calibri"/>
          <w:color w:val="000000"/>
          <w:shd w:val="clear" w:color="auto" w:fill="FFFFFF"/>
        </w:rPr>
        <w:t>urge the Australian</w:t>
      </w:r>
      <w:r w:rsidR="001A4382">
        <w:rPr>
          <w:rStyle w:val="normaltextrun"/>
          <w:rFonts w:ascii="Calibri" w:hAnsi="Calibri" w:cs="Calibri"/>
          <w:color w:val="000000"/>
          <w:shd w:val="clear" w:color="auto" w:fill="FFFFFF"/>
        </w:rPr>
        <w:t xml:space="preserve"> Government </w:t>
      </w:r>
      <w:r w:rsidR="00E44781">
        <w:rPr>
          <w:rStyle w:val="normaltextrun"/>
          <w:rFonts w:ascii="Calibri" w:hAnsi="Calibri" w:cs="Calibri"/>
          <w:color w:val="000000"/>
          <w:shd w:val="clear" w:color="auto" w:fill="FFFFFF"/>
        </w:rPr>
        <w:t xml:space="preserve">to </w:t>
      </w:r>
      <w:r w:rsidR="002B2A09">
        <w:rPr>
          <w:rStyle w:val="normaltextrun"/>
          <w:rFonts w:ascii="Calibri" w:hAnsi="Calibri" w:cs="Calibri"/>
          <w:color w:val="000000"/>
          <w:shd w:val="clear" w:color="auto" w:fill="FFFFFF"/>
        </w:rPr>
        <w:t xml:space="preserve">ensure </w:t>
      </w:r>
      <w:r w:rsidR="00F6125E">
        <w:rPr>
          <w:rStyle w:val="normaltextrun"/>
          <w:rFonts w:ascii="Calibri" w:hAnsi="Calibri" w:cs="Calibri"/>
          <w:color w:val="000000"/>
          <w:shd w:val="clear" w:color="auto" w:fill="FFFFFF"/>
        </w:rPr>
        <w:t>the DRC recommendations lead to transformational change.</w:t>
      </w:r>
      <w:r>
        <w:rPr>
          <w:rStyle w:val="normaltextrun"/>
          <w:rFonts w:ascii="Calibri" w:hAnsi="Calibri" w:cs="Calibri"/>
          <w:color w:val="000000"/>
          <w:shd w:val="clear" w:color="auto" w:fill="FFFFFF"/>
        </w:rPr>
        <w:t xml:space="preserve"> This will ultimately reduce the number of </w:t>
      </w:r>
      <w:r w:rsidR="00E84A4C">
        <w:rPr>
          <w:rStyle w:val="normaltextrun"/>
          <w:rFonts w:ascii="Calibri" w:hAnsi="Calibri" w:cs="Calibri"/>
          <w:color w:val="000000"/>
          <w:shd w:val="clear" w:color="auto" w:fill="FFFFFF"/>
        </w:rPr>
        <w:t xml:space="preserve">preventable </w:t>
      </w:r>
      <w:r>
        <w:rPr>
          <w:rStyle w:val="normaltextrun"/>
          <w:rFonts w:ascii="Calibri" w:hAnsi="Calibri" w:cs="Calibri"/>
          <w:color w:val="000000"/>
          <w:shd w:val="clear" w:color="auto" w:fill="FFFFFF"/>
        </w:rPr>
        <w:t>deaths</w:t>
      </w:r>
      <w:r w:rsidR="00E84A4C">
        <w:rPr>
          <w:rStyle w:val="normaltextrun"/>
          <w:rFonts w:ascii="Calibri" w:hAnsi="Calibri" w:cs="Calibri"/>
          <w:color w:val="000000"/>
          <w:shd w:val="clear" w:color="auto" w:fill="FFFFFF"/>
        </w:rPr>
        <w:t xml:space="preserve">, trauma, </w:t>
      </w:r>
      <w:proofErr w:type="gramStart"/>
      <w:r w:rsidR="00E84A4C">
        <w:rPr>
          <w:rStyle w:val="normaltextrun"/>
          <w:rFonts w:ascii="Calibri" w:hAnsi="Calibri" w:cs="Calibri"/>
          <w:color w:val="000000"/>
          <w:shd w:val="clear" w:color="auto" w:fill="FFFFFF"/>
        </w:rPr>
        <w:t>harm</w:t>
      </w:r>
      <w:proofErr w:type="gramEnd"/>
      <w:r w:rsidR="00E84A4C">
        <w:rPr>
          <w:rStyle w:val="normaltextrun"/>
          <w:rFonts w:ascii="Calibri" w:hAnsi="Calibri" w:cs="Calibri"/>
          <w:color w:val="000000"/>
          <w:shd w:val="clear" w:color="auto" w:fill="FFFFFF"/>
        </w:rPr>
        <w:t xml:space="preserve"> and exploitation</w:t>
      </w:r>
      <w:r>
        <w:rPr>
          <w:rStyle w:val="normaltextrun"/>
          <w:rFonts w:ascii="Calibri" w:hAnsi="Calibri" w:cs="Calibri"/>
          <w:color w:val="000000"/>
          <w:shd w:val="clear" w:color="auto" w:fill="FFFFFF"/>
        </w:rPr>
        <w:t xml:space="preserve"> of people with disability and ensure that people’s rights to </w:t>
      </w:r>
      <w:r w:rsidR="00F43780">
        <w:rPr>
          <w:rStyle w:val="normaltextrun"/>
          <w:rFonts w:ascii="Calibri" w:hAnsi="Calibri" w:cs="Calibri"/>
          <w:color w:val="000000"/>
          <w:shd w:val="clear" w:color="auto" w:fill="FFFFFF"/>
        </w:rPr>
        <w:t>a more inclusive society</w:t>
      </w:r>
      <w:r>
        <w:rPr>
          <w:rStyle w:val="normaltextrun"/>
          <w:rFonts w:ascii="Calibri" w:hAnsi="Calibri" w:cs="Calibri"/>
          <w:color w:val="000000"/>
          <w:shd w:val="clear" w:color="auto" w:fill="FFFFFF"/>
        </w:rPr>
        <w:t xml:space="preserve"> are upheld. QDN strongly supports a system that is built upon evidence and data, and delivers coordinated, integrated and quality </w:t>
      </w:r>
      <w:r w:rsidR="004800A6">
        <w:rPr>
          <w:rStyle w:val="normaltextrun"/>
          <w:rFonts w:ascii="Calibri" w:hAnsi="Calibri" w:cs="Calibri"/>
          <w:color w:val="000000"/>
          <w:shd w:val="clear" w:color="auto" w:fill="FFFFFF"/>
        </w:rPr>
        <w:t>outcomes</w:t>
      </w:r>
      <w:r>
        <w:rPr>
          <w:rStyle w:val="normaltextrun"/>
          <w:rFonts w:ascii="Calibri" w:hAnsi="Calibri" w:cs="Calibri"/>
          <w:color w:val="000000"/>
          <w:shd w:val="clear" w:color="auto" w:fill="FFFFFF"/>
        </w:rPr>
        <w:t xml:space="preserve"> for </w:t>
      </w:r>
      <w:r w:rsidR="004800A6">
        <w:rPr>
          <w:rStyle w:val="normaltextrun"/>
          <w:rFonts w:ascii="Calibri" w:hAnsi="Calibri" w:cs="Calibri"/>
          <w:color w:val="000000"/>
          <w:shd w:val="clear" w:color="auto" w:fill="FFFFFF"/>
        </w:rPr>
        <w:t>all people</w:t>
      </w:r>
      <w:r>
        <w:rPr>
          <w:rStyle w:val="normaltextrun"/>
          <w:rFonts w:ascii="Calibri" w:hAnsi="Calibri" w:cs="Calibri"/>
          <w:color w:val="000000"/>
          <w:shd w:val="clear" w:color="auto" w:fill="FFFFFF"/>
        </w:rPr>
        <w:t xml:space="preserve"> with disability.</w:t>
      </w:r>
      <w:r>
        <w:rPr>
          <w:rStyle w:val="eop"/>
          <w:rFonts w:ascii="Calibri" w:hAnsi="Calibri" w:cs="Calibri"/>
          <w:color w:val="000000"/>
          <w:shd w:val="clear" w:color="auto" w:fill="FFFFFF"/>
        </w:rPr>
        <w:t> </w:t>
      </w:r>
    </w:p>
    <w:sectPr w:rsidR="00A63DD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700ED" w14:textId="77777777" w:rsidR="00436671" w:rsidRDefault="00436671" w:rsidP="00167A24">
      <w:pPr>
        <w:spacing w:after="0" w:line="240" w:lineRule="auto"/>
      </w:pPr>
      <w:r>
        <w:separator/>
      </w:r>
    </w:p>
  </w:endnote>
  <w:endnote w:type="continuationSeparator" w:id="0">
    <w:p w14:paraId="6D69D671" w14:textId="77777777" w:rsidR="00436671" w:rsidRDefault="00436671" w:rsidP="00167A24">
      <w:pPr>
        <w:spacing w:after="0" w:line="240" w:lineRule="auto"/>
      </w:pPr>
      <w:r>
        <w:continuationSeparator/>
      </w:r>
    </w:p>
  </w:endnote>
  <w:endnote w:type="continuationNotice" w:id="1">
    <w:p w14:paraId="1A20189A" w14:textId="77777777" w:rsidR="00436671" w:rsidRDefault="004366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258098"/>
      <w:docPartObj>
        <w:docPartGallery w:val="Page Numbers (Bottom of Page)"/>
        <w:docPartUnique/>
      </w:docPartObj>
    </w:sdtPr>
    <w:sdtEndPr>
      <w:rPr>
        <w:noProof/>
      </w:rPr>
    </w:sdtEndPr>
    <w:sdtContent>
      <w:p w14:paraId="23D19199" w14:textId="17B14BE8" w:rsidR="009A7F43" w:rsidRDefault="009A7F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2CA160" w14:textId="77777777" w:rsidR="009A7F43" w:rsidRDefault="009A7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8C33A" w14:textId="77777777" w:rsidR="00436671" w:rsidRDefault="00436671" w:rsidP="00167A24">
      <w:pPr>
        <w:spacing w:after="0" w:line="240" w:lineRule="auto"/>
      </w:pPr>
      <w:r>
        <w:separator/>
      </w:r>
    </w:p>
  </w:footnote>
  <w:footnote w:type="continuationSeparator" w:id="0">
    <w:p w14:paraId="11BD24E3" w14:textId="77777777" w:rsidR="00436671" w:rsidRDefault="00436671" w:rsidP="00167A24">
      <w:pPr>
        <w:spacing w:after="0" w:line="240" w:lineRule="auto"/>
      </w:pPr>
      <w:r>
        <w:continuationSeparator/>
      </w:r>
    </w:p>
  </w:footnote>
  <w:footnote w:type="continuationNotice" w:id="1">
    <w:p w14:paraId="577FAD30" w14:textId="77777777" w:rsidR="00436671" w:rsidRDefault="00436671">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Ef53+qmgAlV5pi" int2:id="ilfhoF7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7A72"/>
    <w:multiLevelType w:val="hybridMultilevel"/>
    <w:tmpl w:val="4FA292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7D2583"/>
    <w:multiLevelType w:val="hybridMultilevel"/>
    <w:tmpl w:val="32289CCC"/>
    <w:lvl w:ilvl="0" w:tplc="DA42CE4C">
      <w:start w:val="1"/>
      <w:numFmt w:val="bullet"/>
      <w:lvlText w:val=""/>
      <w:lvlJc w:val="left"/>
      <w:pPr>
        <w:ind w:left="720" w:hanging="360"/>
      </w:pPr>
      <w:rPr>
        <w:rFonts w:ascii="Symbol" w:hAnsi="Symbol" w:hint="default"/>
      </w:rPr>
    </w:lvl>
    <w:lvl w:ilvl="1" w:tplc="BB180306">
      <w:start w:val="1"/>
      <w:numFmt w:val="bullet"/>
      <w:lvlText w:val="o"/>
      <w:lvlJc w:val="left"/>
      <w:pPr>
        <w:ind w:left="1440" w:hanging="360"/>
      </w:pPr>
      <w:rPr>
        <w:rFonts w:ascii="Courier New" w:hAnsi="Courier New" w:hint="default"/>
      </w:rPr>
    </w:lvl>
    <w:lvl w:ilvl="2" w:tplc="7A6AA5C4">
      <w:start w:val="1"/>
      <w:numFmt w:val="bullet"/>
      <w:lvlText w:val=""/>
      <w:lvlJc w:val="left"/>
      <w:pPr>
        <w:ind w:left="2160" w:hanging="360"/>
      </w:pPr>
      <w:rPr>
        <w:rFonts w:ascii="Wingdings" w:hAnsi="Wingdings" w:hint="default"/>
      </w:rPr>
    </w:lvl>
    <w:lvl w:ilvl="3" w:tplc="C71ACD38">
      <w:start w:val="1"/>
      <w:numFmt w:val="bullet"/>
      <w:lvlText w:val=""/>
      <w:lvlJc w:val="left"/>
      <w:pPr>
        <w:ind w:left="2880" w:hanging="360"/>
      </w:pPr>
      <w:rPr>
        <w:rFonts w:ascii="Symbol" w:hAnsi="Symbol" w:hint="default"/>
      </w:rPr>
    </w:lvl>
    <w:lvl w:ilvl="4" w:tplc="751AE07A">
      <w:start w:val="1"/>
      <w:numFmt w:val="bullet"/>
      <w:lvlText w:val="o"/>
      <w:lvlJc w:val="left"/>
      <w:pPr>
        <w:ind w:left="3600" w:hanging="360"/>
      </w:pPr>
      <w:rPr>
        <w:rFonts w:ascii="Courier New" w:hAnsi="Courier New" w:hint="default"/>
      </w:rPr>
    </w:lvl>
    <w:lvl w:ilvl="5" w:tplc="3FB6B70C">
      <w:start w:val="1"/>
      <w:numFmt w:val="bullet"/>
      <w:lvlText w:val=""/>
      <w:lvlJc w:val="left"/>
      <w:pPr>
        <w:ind w:left="4320" w:hanging="360"/>
      </w:pPr>
      <w:rPr>
        <w:rFonts w:ascii="Wingdings" w:hAnsi="Wingdings" w:hint="default"/>
      </w:rPr>
    </w:lvl>
    <w:lvl w:ilvl="6" w:tplc="FF4A40C2">
      <w:start w:val="1"/>
      <w:numFmt w:val="bullet"/>
      <w:lvlText w:val=""/>
      <w:lvlJc w:val="left"/>
      <w:pPr>
        <w:ind w:left="5040" w:hanging="360"/>
      </w:pPr>
      <w:rPr>
        <w:rFonts w:ascii="Symbol" w:hAnsi="Symbol" w:hint="default"/>
      </w:rPr>
    </w:lvl>
    <w:lvl w:ilvl="7" w:tplc="C84C8400">
      <w:start w:val="1"/>
      <w:numFmt w:val="bullet"/>
      <w:lvlText w:val="o"/>
      <w:lvlJc w:val="left"/>
      <w:pPr>
        <w:ind w:left="5760" w:hanging="360"/>
      </w:pPr>
      <w:rPr>
        <w:rFonts w:ascii="Courier New" w:hAnsi="Courier New" w:hint="default"/>
      </w:rPr>
    </w:lvl>
    <w:lvl w:ilvl="8" w:tplc="829C3E36">
      <w:start w:val="1"/>
      <w:numFmt w:val="bullet"/>
      <w:lvlText w:val=""/>
      <w:lvlJc w:val="left"/>
      <w:pPr>
        <w:ind w:left="6480" w:hanging="360"/>
      </w:pPr>
      <w:rPr>
        <w:rFonts w:ascii="Wingdings" w:hAnsi="Wingdings" w:hint="default"/>
      </w:rPr>
    </w:lvl>
  </w:abstractNum>
  <w:abstractNum w:abstractNumId="2" w15:restartNumberingAfterBreak="0">
    <w:nsid w:val="0A91673C"/>
    <w:multiLevelType w:val="hybridMultilevel"/>
    <w:tmpl w:val="FFFFFFFF"/>
    <w:lvl w:ilvl="0" w:tplc="C674E672">
      <w:start w:val="1"/>
      <w:numFmt w:val="bullet"/>
      <w:lvlText w:val=""/>
      <w:lvlJc w:val="left"/>
      <w:pPr>
        <w:ind w:left="720" w:hanging="360"/>
      </w:pPr>
      <w:rPr>
        <w:rFonts w:ascii="Symbol" w:hAnsi="Symbol" w:hint="default"/>
      </w:rPr>
    </w:lvl>
    <w:lvl w:ilvl="1" w:tplc="428452E8">
      <w:start w:val="1"/>
      <w:numFmt w:val="bullet"/>
      <w:lvlText w:val="o"/>
      <w:lvlJc w:val="left"/>
      <w:pPr>
        <w:ind w:left="1440" w:hanging="360"/>
      </w:pPr>
      <w:rPr>
        <w:rFonts w:ascii="Courier New" w:hAnsi="Courier New" w:hint="default"/>
      </w:rPr>
    </w:lvl>
    <w:lvl w:ilvl="2" w:tplc="1FDA4740">
      <w:start w:val="1"/>
      <w:numFmt w:val="bullet"/>
      <w:lvlText w:val=""/>
      <w:lvlJc w:val="left"/>
      <w:pPr>
        <w:ind w:left="2160" w:hanging="360"/>
      </w:pPr>
      <w:rPr>
        <w:rFonts w:ascii="Wingdings" w:hAnsi="Wingdings" w:hint="default"/>
      </w:rPr>
    </w:lvl>
    <w:lvl w:ilvl="3" w:tplc="E4F050D6">
      <w:start w:val="1"/>
      <w:numFmt w:val="bullet"/>
      <w:lvlText w:val=""/>
      <w:lvlJc w:val="left"/>
      <w:pPr>
        <w:ind w:left="2880" w:hanging="360"/>
      </w:pPr>
      <w:rPr>
        <w:rFonts w:ascii="Symbol" w:hAnsi="Symbol" w:hint="default"/>
      </w:rPr>
    </w:lvl>
    <w:lvl w:ilvl="4" w:tplc="92A096C8">
      <w:start w:val="1"/>
      <w:numFmt w:val="bullet"/>
      <w:lvlText w:val="o"/>
      <w:lvlJc w:val="left"/>
      <w:pPr>
        <w:ind w:left="3600" w:hanging="360"/>
      </w:pPr>
      <w:rPr>
        <w:rFonts w:ascii="Courier New" w:hAnsi="Courier New" w:hint="default"/>
      </w:rPr>
    </w:lvl>
    <w:lvl w:ilvl="5" w:tplc="DE006364">
      <w:start w:val="1"/>
      <w:numFmt w:val="bullet"/>
      <w:lvlText w:val=""/>
      <w:lvlJc w:val="left"/>
      <w:pPr>
        <w:ind w:left="4320" w:hanging="360"/>
      </w:pPr>
      <w:rPr>
        <w:rFonts w:ascii="Wingdings" w:hAnsi="Wingdings" w:hint="default"/>
      </w:rPr>
    </w:lvl>
    <w:lvl w:ilvl="6" w:tplc="6C3E0382">
      <w:start w:val="1"/>
      <w:numFmt w:val="bullet"/>
      <w:lvlText w:val=""/>
      <w:lvlJc w:val="left"/>
      <w:pPr>
        <w:ind w:left="5040" w:hanging="360"/>
      </w:pPr>
      <w:rPr>
        <w:rFonts w:ascii="Symbol" w:hAnsi="Symbol" w:hint="default"/>
      </w:rPr>
    </w:lvl>
    <w:lvl w:ilvl="7" w:tplc="DFD237F0">
      <w:start w:val="1"/>
      <w:numFmt w:val="bullet"/>
      <w:lvlText w:val="o"/>
      <w:lvlJc w:val="left"/>
      <w:pPr>
        <w:ind w:left="5760" w:hanging="360"/>
      </w:pPr>
      <w:rPr>
        <w:rFonts w:ascii="Courier New" w:hAnsi="Courier New" w:hint="default"/>
      </w:rPr>
    </w:lvl>
    <w:lvl w:ilvl="8" w:tplc="3CDE6EEE">
      <w:start w:val="1"/>
      <w:numFmt w:val="bullet"/>
      <w:lvlText w:val=""/>
      <w:lvlJc w:val="left"/>
      <w:pPr>
        <w:ind w:left="6480" w:hanging="360"/>
      </w:pPr>
      <w:rPr>
        <w:rFonts w:ascii="Wingdings" w:hAnsi="Wingdings" w:hint="default"/>
      </w:rPr>
    </w:lvl>
  </w:abstractNum>
  <w:abstractNum w:abstractNumId="3" w15:restartNumberingAfterBreak="0">
    <w:nsid w:val="0DC6154F"/>
    <w:multiLevelType w:val="hybridMultilevel"/>
    <w:tmpl w:val="5266AC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FA514A"/>
    <w:multiLevelType w:val="hybridMultilevel"/>
    <w:tmpl w:val="787A5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7EE951"/>
    <w:multiLevelType w:val="multilevel"/>
    <w:tmpl w:val="010EE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90115C"/>
    <w:multiLevelType w:val="hybridMultilevel"/>
    <w:tmpl w:val="EC16CC48"/>
    <w:lvl w:ilvl="0" w:tplc="64E2BDB4">
      <w:start w:val="1"/>
      <w:numFmt w:val="bullet"/>
      <w:lvlText w:val=""/>
      <w:lvlJc w:val="left"/>
      <w:pPr>
        <w:ind w:left="720" w:hanging="360"/>
      </w:pPr>
      <w:rPr>
        <w:rFonts w:ascii="Symbol" w:hAnsi="Symbol" w:hint="default"/>
      </w:rPr>
    </w:lvl>
    <w:lvl w:ilvl="1" w:tplc="523C4744">
      <w:start w:val="1"/>
      <w:numFmt w:val="bullet"/>
      <w:lvlText w:val="o"/>
      <w:lvlJc w:val="left"/>
      <w:pPr>
        <w:ind w:left="1440" w:hanging="360"/>
      </w:pPr>
      <w:rPr>
        <w:rFonts w:ascii="Courier New" w:hAnsi="Courier New" w:hint="default"/>
      </w:rPr>
    </w:lvl>
    <w:lvl w:ilvl="2" w:tplc="93CC65CA">
      <w:start w:val="1"/>
      <w:numFmt w:val="bullet"/>
      <w:lvlText w:val=""/>
      <w:lvlJc w:val="left"/>
      <w:pPr>
        <w:ind w:left="2160" w:hanging="360"/>
      </w:pPr>
      <w:rPr>
        <w:rFonts w:ascii="Wingdings" w:hAnsi="Wingdings" w:hint="default"/>
      </w:rPr>
    </w:lvl>
    <w:lvl w:ilvl="3" w:tplc="50FC4BE2">
      <w:start w:val="1"/>
      <w:numFmt w:val="bullet"/>
      <w:lvlText w:val=""/>
      <w:lvlJc w:val="left"/>
      <w:pPr>
        <w:ind w:left="2880" w:hanging="360"/>
      </w:pPr>
      <w:rPr>
        <w:rFonts w:ascii="Symbol" w:hAnsi="Symbol" w:hint="default"/>
      </w:rPr>
    </w:lvl>
    <w:lvl w:ilvl="4" w:tplc="B4D6FCA2">
      <w:start w:val="1"/>
      <w:numFmt w:val="bullet"/>
      <w:lvlText w:val="o"/>
      <w:lvlJc w:val="left"/>
      <w:pPr>
        <w:ind w:left="3600" w:hanging="360"/>
      </w:pPr>
      <w:rPr>
        <w:rFonts w:ascii="Courier New" w:hAnsi="Courier New" w:hint="default"/>
      </w:rPr>
    </w:lvl>
    <w:lvl w:ilvl="5" w:tplc="91A62E70">
      <w:start w:val="1"/>
      <w:numFmt w:val="bullet"/>
      <w:lvlText w:val=""/>
      <w:lvlJc w:val="left"/>
      <w:pPr>
        <w:ind w:left="4320" w:hanging="360"/>
      </w:pPr>
      <w:rPr>
        <w:rFonts w:ascii="Wingdings" w:hAnsi="Wingdings" w:hint="default"/>
      </w:rPr>
    </w:lvl>
    <w:lvl w:ilvl="6" w:tplc="FED618CC">
      <w:start w:val="1"/>
      <w:numFmt w:val="bullet"/>
      <w:lvlText w:val=""/>
      <w:lvlJc w:val="left"/>
      <w:pPr>
        <w:ind w:left="5040" w:hanging="360"/>
      </w:pPr>
      <w:rPr>
        <w:rFonts w:ascii="Symbol" w:hAnsi="Symbol" w:hint="default"/>
      </w:rPr>
    </w:lvl>
    <w:lvl w:ilvl="7" w:tplc="8A10EB14">
      <w:start w:val="1"/>
      <w:numFmt w:val="bullet"/>
      <w:lvlText w:val="o"/>
      <w:lvlJc w:val="left"/>
      <w:pPr>
        <w:ind w:left="5760" w:hanging="360"/>
      </w:pPr>
      <w:rPr>
        <w:rFonts w:ascii="Courier New" w:hAnsi="Courier New" w:hint="default"/>
      </w:rPr>
    </w:lvl>
    <w:lvl w:ilvl="8" w:tplc="FD368EF8">
      <w:start w:val="1"/>
      <w:numFmt w:val="bullet"/>
      <w:lvlText w:val=""/>
      <w:lvlJc w:val="left"/>
      <w:pPr>
        <w:ind w:left="6480" w:hanging="360"/>
      </w:pPr>
      <w:rPr>
        <w:rFonts w:ascii="Wingdings" w:hAnsi="Wingdings" w:hint="default"/>
      </w:rPr>
    </w:lvl>
  </w:abstractNum>
  <w:abstractNum w:abstractNumId="7" w15:restartNumberingAfterBreak="0">
    <w:nsid w:val="1B996862"/>
    <w:multiLevelType w:val="hybridMultilevel"/>
    <w:tmpl w:val="180AAC1A"/>
    <w:lvl w:ilvl="0" w:tplc="A8E257B4">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DD984D"/>
    <w:multiLevelType w:val="hybridMultilevel"/>
    <w:tmpl w:val="64C66860"/>
    <w:lvl w:ilvl="0" w:tplc="AF46B2E6">
      <w:start w:val="1"/>
      <w:numFmt w:val="bullet"/>
      <w:lvlText w:val=""/>
      <w:lvlJc w:val="left"/>
      <w:pPr>
        <w:ind w:left="720" w:hanging="360"/>
      </w:pPr>
      <w:rPr>
        <w:rFonts w:ascii="Symbol" w:hAnsi="Symbol" w:hint="default"/>
      </w:rPr>
    </w:lvl>
    <w:lvl w:ilvl="1" w:tplc="B78CE94E">
      <w:start w:val="1"/>
      <w:numFmt w:val="bullet"/>
      <w:lvlText w:val="o"/>
      <w:lvlJc w:val="left"/>
      <w:pPr>
        <w:ind w:left="1440" w:hanging="360"/>
      </w:pPr>
      <w:rPr>
        <w:rFonts w:ascii="Courier New" w:hAnsi="Courier New" w:hint="default"/>
      </w:rPr>
    </w:lvl>
    <w:lvl w:ilvl="2" w:tplc="E1121C42">
      <w:start w:val="1"/>
      <w:numFmt w:val="bullet"/>
      <w:lvlText w:val=""/>
      <w:lvlJc w:val="left"/>
      <w:pPr>
        <w:ind w:left="2160" w:hanging="360"/>
      </w:pPr>
      <w:rPr>
        <w:rFonts w:ascii="Wingdings" w:hAnsi="Wingdings" w:hint="default"/>
      </w:rPr>
    </w:lvl>
    <w:lvl w:ilvl="3" w:tplc="8438FC04">
      <w:start w:val="1"/>
      <w:numFmt w:val="bullet"/>
      <w:lvlText w:val=""/>
      <w:lvlJc w:val="left"/>
      <w:pPr>
        <w:ind w:left="2880" w:hanging="360"/>
      </w:pPr>
      <w:rPr>
        <w:rFonts w:ascii="Symbol" w:hAnsi="Symbol" w:hint="default"/>
      </w:rPr>
    </w:lvl>
    <w:lvl w:ilvl="4" w:tplc="AE80D704">
      <w:start w:val="1"/>
      <w:numFmt w:val="bullet"/>
      <w:lvlText w:val="o"/>
      <w:lvlJc w:val="left"/>
      <w:pPr>
        <w:ind w:left="3600" w:hanging="360"/>
      </w:pPr>
      <w:rPr>
        <w:rFonts w:ascii="Courier New" w:hAnsi="Courier New" w:hint="default"/>
      </w:rPr>
    </w:lvl>
    <w:lvl w:ilvl="5" w:tplc="6634323E">
      <w:start w:val="1"/>
      <w:numFmt w:val="bullet"/>
      <w:lvlText w:val=""/>
      <w:lvlJc w:val="left"/>
      <w:pPr>
        <w:ind w:left="4320" w:hanging="360"/>
      </w:pPr>
      <w:rPr>
        <w:rFonts w:ascii="Wingdings" w:hAnsi="Wingdings" w:hint="default"/>
      </w:rPr>
    </w:lvl>
    <w:lvl w:ilvl="6" w:tplc="ED20AE7A">
      <w:start w:val="1"/>
      <w:numFmt w:val="bullet"/>
      <w:lvlText w:val=""/>
      <w:lvlJc w:val="left"/>
      <w:pPr>
        <w:ind w:left="5040" w:hanging="360"/>
      </w:pPr>
      <w:rPr>
        <w:rFonts w:ascii="Symbol" w:hAnsi="Symbol" w:hint="default"/>
      </w:rPr>
    </w:lvl>
    <w:lvl w:ilvl="7" w:tplc="ED56A9F8">
      <w:start w:val="1"/>
      <w:numFmt w:val="bullet"/>
      <w:lvlText w:val="o"/>
      <w:lvlJc w:val="left"/>
      <w:pPr>
        <w:ind w:left="5760" w:hanging="360"/>
      </w:pPr>
      <w:rPr>
        <w:rFonts w:ascii="Courier New" w:hAnsi="Courier New" w:hint="default"/>
      </w:rPr>
    </w:lvl>
    <w:lvl w:ilvl="8" w:tplc="0242E16A">
      <w:start w:val="1"/>
      <w:numFmt w:val="bullet"/>
      <w:lvlText w:val=""/>
      <w:lvlJc w:val="left"/>
      <w:pPr>
        <w:ind w:left="6480" w:hanging="360"/>
      </w:pPr>
      <w:rPr>
        <w:rFonts w:ascii="Wingdings" w:hAnsi="Wingdings" w:hint="default"/>
      </w:rPr>
    </w:lvl>
  </w:abstractNum>
  <w:abstractNum w:abstractNumId="9" w15:restartNumberingAfterBreak="0">
    <w:nsid w:val="2A3748AD"/>
    <w:multiLevelType w:val="hybridMultilevel"/>
    <w:tmpl w:val="37FE6D24"/>
    <w:lvl w:ilvl="0" w:tplc="7A24148E">
      <w:start w:val="1"/>
      <w:numFmt w:val="bullet"/>
      <w:lvlText w:val=""/>
      <w:lvlJc w:val="left"/>
      <w:pPr>
        <w:ind w:left="360" w:hanging="360"/>
      </w:pPr>
      <w:rPr>
        <w:rFonts w:ascii="Symbol" w:hAnsi="Symbol" w:hint="default"/>
      </w:rPr>
    </w:lvl>
    <w:lvl w:ilvl="1" w:tplc="ECF2C5B8">
      <w:start w:val="1"/>
      <w:numFmt w:val="bullet"/>
      <w:lvlText w:val="o"/>
      <w:lvlJc w:val="left"/>
      <w:pPr>
        <w:ind w:left="1080" w:hanging="360"/>
      </w:pPr>
      <w:rPr>
        <w:rFonts w:ascii="Courier New" w:hAnsi="Courier New" w:hint="default"/>
      </w:rPr>
    </w:lvl>
    <w:lvl w:ilvl="2" w:tplc="C6CE5F7C">
      <w:start w:val="1"/>
      <w:numFmt w:val="bullet"/>
      <w:lvlText w:val=""/>
      <w:lvlJc w:val="left"/>
      <w:pPr>
        <w:ind w:left="1800" w:hanging="360"/>
      </w:pPr>
      <w:rPr>
        <w:rFonts w:ascii="Wingdings" w:hAnsi="Wingdings" w:hint="default"/>
      </w:rPr>
    </w:lvl>
    <w:lvl w:ilvl="3" w:tplc="9BCC5876">
      <w:start w:val="1"/>
      <w:numFmt w:val="bullet"/>
      <w:lvlText w:val=""/>
      <w:lvlJc w:val="left"/>
      <w:pPr>
        <w:ind w:left="2520" w:hanging="360"/>
      </w:pPr>
      <w:rPr>
        <w:rFonts w:ascii="Symbol" w:hAnsi="Symbol" w:hint="default"/>
      </w:rPr>
    </w:lvl>
    <w:lvl w:ilvl="4" w:tplc="14C8A9F2">
      <w:start w:val="1"/>
      <w:numFmt w:val="bullet"/>
      <w:lvlText w:val="o"/>
      <w:lvlJc w:val="left"/>
      <w:pPr>
        <w:ind w:left="3240" w:hanging="360"/>
      </w:pPr>
      <w:rPr>
        <w:rFonts w:ascii="Courier New" w:hAnsi="Courier New" w:hint="default"/>
      </w:rPr>
    </w:lvl>
    <w:lvl w:ilvl="5" w:tplc="210E64D6">
      <w:start w:val="1"/>
      <w:numFmt w:val="bullet"/>
      <w:lvlText w:val=""/>
      <w:lvlJc w:val="left"/>
      <w:pPr>
        <w:ind w:left="3960" w:hanging="360"/>
      </w:pPr>
      <w:rPr>
        <w:rFonts w:ascii="Wingdings" w:hAnsi="Wingdings" w:hint="default"/>
      </w:rPr>
    </w:lvl>
    <w:lvl w:ilvl="6" w:tplc="E63E98A0">
      <w:start w:val="1"/>
      <w:numFmt w:val="bullet"/>
      <w:lvlText w:val=""/>
      <w:lvlJc w:val="left"/>
      <w:pPr>
        <w:ind w:left="4680" w:hanging="360"/>
      </w:pPr>
      <w:rPr>
        <w:rFonts w:ascii="Symbol" w:hAnsi="Symbol" w:hint="default"/>
      </w:rPr>
    </w:lvl>
    <w:lvl w:ilvl="7" w:tplc="D02CCAEE">
      <w:start w:val="1"/>
      <w:numFmt w:val="bullet"/>
      <w:lvlText w:val="o"/>
      <w:lvlJc w:val="left"/>
      <w:pPr>
        <w:ind w:left="5400" w:hanging="360"/>
      </w:pPr>
      <w:rPr>
        <w:rFonts w:ascii="Courier New" w:hAnsi="Courier New" w:hint="default"/>
      </w:rPr>
    </w:lvl>
    <w:lvl w:ilvl="8" w:tplc="7FAC8308">
      <w:start w:val="1"/>
      <w:numFmt w:val="bullet"/>
      <w:lvlText w:val=""/>
      <w:lvlJc w:val="left"/>
      <w:pPr>
        <w:ind w:left="6120" w:hanging="360"/>
      </w:pPr>
      <w:rPr>
        <w:rFonts w:ascii="Wingdings" w:hAnsi="Wingdings" w:hint="default"/>
      </w:rPr>
    </w:lvl>
  </w:abstractNum>
  <w:abstractNum w:abstractNumId="10" w15:restartNumberingAfterBreak="0">
    <w:nsid w:val="31B65547"/>
    <w:multiLevelType w:val="hybridMultilevel"/>
    <w:tmpl w:val="966C17D0"/>
    <w:lvl w:ilvl="0" w:tplc="A8E257B4">
      <w:start w:val="6"/>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23E9985"/>
    <w:multiLevelType w:val="hybridMultilevel"/>
    <w:tmpl w:val="8996CEFE"/>
    <w:lvl w:ilvl="0" w:tplc="66CAC2F8">
      <w:start w:val="1"/>
      <w:numFmt w:val="bullet"/>
      <w:lvlText w:val=""/>
      <w:lvlJc w:val="left"/>
      <w:pPr>
        <w:ind w:left="720" w:hanging="360"/>
      </w:pPr>
      <w:rPr>
        <w:rFonts w:ascii="Symbol" w:hAnsi="Symbol" w:hint="default"/>
      </w:rPr>
    </w:lvl>
    <w:lvl w:ilvl="1" w:tplc="5DB43DFE">
      <w:start w:val="1"/>
      <w:numFmt w:val="bullet"/>
      <w:lvlText w:val="o"/>
      <w:lvlJc w:val="left"/>
      <w:pPr>
        <w:ind w:left="1440" w:hanging="360"/>
      </w:pPr>
      <w:rPr>
        <w:rFonts w:ascii="Courier New" w:hAnsi="Courier New" w:hint="default"/>
      </w:rPr>
    </w:lvl>
    <w:lvl w:ilvl="2" w:tplc="9EF476A2">
      <w:start w:val="1"/>
      <w:numFmt w:val="bullet"/>
      <w:lvlText w:val=""/>
      <w:lvlJc w:val="left"/>
      <w:pPr>
        <w:ind w:left="2160" w:hanging="360"/>
      </w:pPr>
      <w:rPr>
        <w:rFonts w:ascii="Wingdings" w:hAnsi="Wingdings" w:hint="default"/>
      </w:rPr>
    </w:lvl>
    <w:lvl w:ilvl="3" w:tplc="8BFCAC22">
      <w:start w:val="1"/>
      <w:numFmt w:val="bullet"/>
      <w:lvlText w:val=""/>
      <w:lvlJc w:val="left"/>
      <w:pPr>
        <w:ind w:left="2880" w:hanging="360"/>
      </w:pPr>
      <w:rPr>
        <w:rFonts w:ascii="Symbol" w:hAnsi="Symbol" w:hint="default"/>
      </w:rPr>
    </w:lvl>
    <w:lvl w:ilvl="4" w:tplc="0C486B70">
      <w:start w:val="1"/>
      <w:numFmt w:val="bullet"/>
      <w:lvlText w:val="o"/>
      <w:lvlJc w:val="left"/>
      <w:pPr>
        <w:ind w:left="3600" w:hanging="360"/>
      </w:pPr>
      <w:rPr>
        <w:rFonts w:ascii="Courier New" w:hAnsi="Courier New" w:hint="default"/>
      </w:rPr>
    </w:lvl>
    <w:lvl w:ilvl="5" w:tplc="06D2EC2E">
      <w:start w:val="1"/>
      <w:numFmt w:val="bullet"/>
      <w:lvlText w:val=""/>
      <w:lvlJc w:val="left"/>
      <w:pPr>
        <w:ind w:left="4320" w:hanging="360"/>
      </w:pPr>
      <w:rPr>
        <w:rFonts w:ascii="Wingdings" w:hAnsi="Wingdings" w:hint="default"/>
      </w:rPr>
    </w:lvl>
    <w:lvl w:ilvl="6" w:tplc="500AEDF2">
      <w:start w:val="1"/>
      <w:numFmt w:val="bullet"/>
      <w:lvlText w:val=""/>
      <w:lvlJc w:val="left"/>
      <w:pPr>
        <w:ind w:left="5040" w:hanging="360"/>
      </w:pPr>
      <w:rPr>
        <w:rFonts w:ascii="Symbol" w:hAnsi="Symbol" w:hint="default"/>
      </w:rPr>
    </w:lvl>
    <w:lvl w:ilvl="7" w:tplc="016C09C8">
      <w:start w:val="1"/>
      <w:numFmt w:val="bullet"/>
      <w:lvlText w:val="o"/>
      <w:lvlJc w:val="left"/>
      <w:pPr>
        <w:ind w:left="5760" w:hanging="360"/>
      </w:pPr>
      <w:rPr>
        <w:rFonts w:ascii="Courier New" w:hAnsi="Courier New" w:hint="default"/>
      </w:rPr>
    </w:lvl>
    <w:lvl w:ilvl="8" w:tplc="8FCAA868">
      <w:start w:val="1"/>
      <w:numFmt w:val="bullet"/>
      <w:lvlText w:val=""/>
      <w:lvlJc w:val="left"/>
      <w:pPr>
        <w:ind w:left="6480" w:hanging="360"/>
      </w:pPr>
      <w:rPr>
        <w:rFonts w:ascii="Wingdings" w:hAnsi="Wingdings" w:hint="default"/>
      </w:rPr>
    </w:lvl>
  </w:abstractNum>
  <w:abstractNum w:abstractNumId="12" w15:restartNumberingAfterBreak="0">
    <w:nsid w:val="40B7636A"/>
    <w:multiLevelType w:val="hybridMultilevel"/>
    <w:tmpl w:val="6D7A7F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EDE945E"/>
    <w:multiLevelType w:val="hybridMultilevel"/>
    <w:tmpl w:val="186AFD74"/>
    <w:lvl w:ilvl="0" w:tplc="0EB6AC7A">
      <w:start w:val="1"/>
      <w:numFmt w:val="bullet"/>
      <w:lvlText w:val=""/>
      <w:lvlJc w:val="left"/>
      <w:pPr>
        <w:ind w:left="360" w:hanging="360"/>
      </w:pPr>
      <w:rPr>
        <w:rFonts w:ascii="Symbol" w:hAnsi="Symbol" w:hint="default"/>
      </w:rPr>
    </w:lvl>
    <w:lvl w:ilvl="1" w:tplc="433E09D4">
      <w:start w:val="1"/>
      <w:numFmt w:val="bullet"/>
      <w:lvlText w:val="o"/>
      <w:lvlJc w:val="left"/>
      <w:pPr>
        <w:ind w:left="1080" w:hanging="360"/>
      </w:pPr>
      <w:rPr>
        <w:rFonts w:ascii="Courier New" w:hAnsi="Courier New" w:hint="default"/>
      </w:rPr>
    </w:lvl>
    <w:lvl w:ilvl="2" w:tplc="81CAC314">
      <w:start w:val="1"/>
      <w:numFmt w:val="bullet"/>
      <w:lvlText w:val=""/>
      <w:lvlJc w:val="left"/>
      <w:pPr>
        <w:ind w:left="1800" w:hanging="360"/>
      </w:pPr>
      <w:rPr>
        <w:rFonts w:ascii="Wingdings" w:hAnsi="Wingdings" w:hint="default"/>
      </w:rPr>
    </w:lvl>
    <w:lvl w:ilvl="3" w:tplc="88E64240">
      <w:start w:val="1"/>
      <w:numFmt w:val="bullet"/>
      <w:lvlText w:val=""/>
      <w:lvlJc w:val="left"/>
      <w:pPr>
        <w:ind w:left="2520" w:hanging="360"/>
      </w:pPr>
      <w:rPr>
        <w:rFonts w:ascii="Symbol" w:hAnsi="Symbol" w:hint="default"/>
      </w:rPr>
    </w:lvl>
    <w:lvl w:ilvl="4" w:tplc="1D385924">
      <w:start w:val="1"/>
      <w:numFmt w:val="bullet"/>
      <w:lvlText w:val="o"/>
      <w:lvlJc w:val="left"/>
      <w:pPr>
        <w:ind w:left="3240" w:hanging="360"/>
      </w:pPr>
      <w:rPr>
        <w:rFonts w:ascii="Courier New" w:hAnsi="Courier New" w:hint="default"/>
      </w:rPr>
    </w:lvl>
    <w:lvl w:ilvl="5" w:tplc="1F649E78">
      <w:start w:val="1"/>
      <w:numFmt w:val="bullet"/>
      <w:lvlText w:val=""/>
      <w:lvlJc w:val="left"/>
      <w:pPr>
        <w:ind w:left="3960" w:hanging="360"/>
      </w:pPr>
      <w:rPr>
        <w:rFonts w:ascii="Wingdings" w:hAnsi="Wingdings" w:hint="default"/>
      </w:rPr>
    </w:lvl>
    <w:lvl w:ilvl="6" w:tplc="DAD0DC82">
      <w:start w:val="1"/>
      <w:numFmt w:val="bullet"/>
      <w:lvlText w:val=""/>
      <w:lvlJc w:val="left"/>
      <w:pPr>
        <w:ind w:left="4680" w:hanging="360"/>
      </w:pPr>
      <w:rPr>
        <w:rFonts w:ascii="Symbol" w:hAnsi="Symbol" w:hint="default"/>
      </w:rPr>
    </w:lvl>
    <w:lvl w:ilvl="7" w:tplc="EFAA0F4A">
      <w:start w:val="1"/>
      <w:numFmt w:val="bullet"/>
      <w:lvlText w:val="o"/>
      <w:lvlJc w:val="left"/>
      <w:pPr>
        <w:ind w:left="5400" w:hanging="360"/>
      </w:pPr>
      <w:rPr>
        <w:rFonts w:ascii="Courier New" w:hAnsi="Courier New" w:hint="default"/>
      </w:rPr>
    </w:lvl>
    <w:lvl w:ilvl="8" w:tplc="080E5BB4">
      <w:start w:val="1"/>
      <w:numFmt w:val="bullet"/>
      <w:lvlText w:val=""/>
      <w:lvlJc w:val="left"/>
      <w:pPr>
        <w:ind w:left="6120" w:hanging="360"/>
      </w:pPr>
      <w:rPr>
        <w:rFonts w:ascii="Wingdings" w:hAnsi="Wingdings" w:hint="default"/>
      </w:rPr>
    </w:lvl>
  </w:abstractNum>
  <w:abstractNum w:abstractNumId="14" w15:restartNumberingAfterBreak="0">
    <w:nsid w:val="50ACDE5A"/>
    <w:multiLevelType w:val="hybridMultilevel"/>
    <w:tmpl w:val="44083CD4"/>
    <w:lvl w:ilvl="0" w:tplc="036C919C">
      <w:start w:val="1"/>
      <w:numFmt w:val="bullet"/>
      <w:lvlText w:val=""/>
      <w:lvlJc w:val="left"/>
      <w:pPr>
        <w:ind w:left="720" w:hanging="360"/>
      </w:pPr>
      <w:rPr>
        <w:rFonts w:ascii="Symbol" w:hAnsi="Symbol" w:hint="default"/>
      </w:rPr>
    </w:lvl>
    <w:lvl w:ilvl="1" w:tplc="8140FE52">
      <w:start w:val="1"/>
      <w:numFmt w:val="bullet"/>
      <w:lvlText w:val="o"/>
      <w:lvlJc w:val="left"/>
      <w:pPr>
        <w:ind w:left="1440" w:hanging="360"/>
      </w:pPr>
      <w:rPr>
        <w:rFonts w:ascii="Courier New" w:hAnsi="Courier New" w:hint="default"/>
      </w:rPr>
    </w:lvl>
    <w:lvl w:ilvl="2" w:tplc="2C0C2060">
      <w:start w:val="1"/>
      <w:numFmt w:val="bullet"/>
      <w:lvlText w:val=""/>
      <w:lvlJc w:val="left"/>
      <w:pPr>
        <w:ind w:left="2160" w:hanging="360"/>
      </w:pPr>
      <w:rPr>
        <w:rFonts w:ascii="Wingdings" w:hAnsi="Wingdings" w:hint="default"/>
      </w:rPr>
    </w:lvl>
    <w:lvl w:ilvl="3" w:tplc="849260CC">
      <w:start w:val="1"/>
      <w:numFmt w:val="bullet"/>
      <w:lvlText w:val=""/>
      <w:lvlJc w:val="left"/>
      <w:pPr>
        <w:ind w:left="2880" w:hanging="360"/>
      </w:pPr>
      <w:rPr>
        <w:rFonts w:ascii="Symbol" w:hAnsi="Symbol" w:hint="default"/>
      </w:rPr>
    </w:lvl>
    <w:lvl w:ilvl="4" w:tplc="0E427D24">
      <w:start w:val="1"/>
      <w:numFmt w:val="bullet"/>
      <w:lvlText w:val="o"/>
      <w:lvlJc w:val="left"/>
      <w:pPr>
        <w:ind w:left="3600" w:hanging="360"/>
      </w:pPr>
      <w:rPr>
        <w:rFonts w:ascii="Courier New" w:hAnsi="Courier New" w:hint="default"/>
      </w:rPr>
    </w:lvl>
    <w:lvl w:ilvl="5" w:tplc="54FE09D4">
      <w:start w:val="1"/>
      <w:numFmt w:val="bullet"/>
      <w:lvlText w:val=""/>
      <w:lvlJc w:val="left"/>
      <w:pPr>
        <w:ind w:left="4320" w:hanging="360"/>
      </w:pPr>
      <w:rPr>
        <w:rFonts w:ascii="Wingdings" w:hAnsi="Wingdings" w:hint="default"/>
      </w:rPr>
    </w:lvl>
    <w:lvl w:ilvl="6" w:tplc="5C1CF6BA">
      <w:start w:val="1"/>
      <w:numFmt w:val="bullet"/>
      <w:lvlText w:val=""/>
      <w:lvlJc w:val="left"/>
      <w:pPr>
        <w:ind w:left="5040" w:hanging="360"/>
      </w:pPr>
      <w:rPr>
        <w:rFonts w:ascii="Symbol" w:hAnsi="Symbol" w:hint="default"/>
      </w:rPr>
    </w:lvl>
    <w:lvl w:ilvl="7" w:tplc="D16001EA">
      <w:start w:val="1"/>
      <w:numFmt w:val="bullet"/>
      <w:lvlText w:val="o"/>
      <w:lvlJc w:val="left"/>
      <w:pPr>
        <w:ind w:left="5760" w:hanging="360"/>
      </w:pPr>
      <w:rPr>
        <w:rFonts w:ascii="Courier New" w:hAnsi="Courier New" w:hint="default"/>
      </w:rPr>
    </w:lvl>
    <w:lvl w:ilvl="8" w:tplc="D30E38B4">
      <w:start w:val="1"/>
      <w:numFmt w:val="bullet"/>
      <w:lvlText w:val=""/>
      <w:lvlJc w:val="left"/>
      <w:pPr>
        <w:ind w:left="6480" w:hanging="360"/>
      </w:pPr>
      <w:rPr>
        <w:rFonts w:ascii="Wingdings" w:hAnsi="Wingdings" w:hint="default"/>
      </w:rPr>
    </w:lvl>
  </w:abstractNum>
  <w:abstractNum w:abstractNumId="15" w15:restartNumberingAfterBreak="0">
    <w:nsid w:val="5452C79B"/>
    <w:multiLevelType w:val="hybridMultilevel"/>
    <w:tmpl w:val="9C1EAE68"/>
    <w:lvl w:ilvl="0" w:tplc="737863CA">
      <w:start w:val="1"/>
      <w:numFmt w:val="bullet"/>
      <w:lvlText w:val=""/>
      <w:lvlJc w:val="left"/>
      <w:pPr>
        <w:ind w:left="720" w:hanging="360"/>
      </w:pPr>
      <w:rPr>
        <w:rFonts w:ascii="Symbol" w:hAnsi="Symbol" w:hint="default"/>
      </w:rPr>
    </w:lvl>
    <w:lvl w:ilvl="1" w:tplc="C58C128C">
      <w:start w:val="1"/>
      <w:numFmt w:val="bullet"/>
      <w:lvlText w:val="o"/>
      <w:lvlJc w:val="left"/>
      <w:pPr>
        <w:ind w:left="1440" w:hanging="360"/>
      </w:pPr>
      <w:rPr>
        <w:rFonts w:ascii="Courier New" w:hAnsi="Courier New" w:hint="default"/>
      </w:rPr>
    </w:lvl>
    <w:lvl w:ilvl="2" w:tplc="FF725C42">
      <w:start w:val="1"/>
      <w:numFmt w:val="bullet"/>
      <w:lvlText w:val=""/>
      <w:lvlJc w:val="left"/>
      <w:pPr>
        <w:ind w:left="2160" w:hanging="360"/>
      </w:pPr>
      <w:rPr>
        <w:rFonts w:ascii="Wingdings" w:hAnsi="Wingdings" w:hint="default"/>
      </w:rPr>
    </w:lvl>
    <w:lvl w:ilvl="3" w:tplc="BB5410B2">
      <w:start w:val="1"/>
      <w:numFmt w:val="bullet"/>
      <w:lvlText w:val=""/>
      <w:lvlJc w:val="left"/>
      <w:pPr>
        <w:ind w:left="2880" w:hanging="360"/>
      </w:pPr>
      <w:rPr>
        <w:rFonts w:ascii="Symbol" w:hAnsi="Symbol" w:hint="default"/>
      </w:rPr>
    </w:lvl>
    <w:lvl w:ilvl="4" w:tplc="DE18E210">
      <w:start w:val="1"/>
      <w:numFmt w:val="bullet"/>
      <w:lvlText w:val="o"/>
      <w:lvlJc w:val="left"/>
      <w:pPr>
        <w:ind w:left="3600" w:hanging="360"/>
      </w:pPr>
      <w:rPr>
        <w:rFonts w:ascii="Courier New" w:hAnsi="Courier New" w:hint="default"/>
      </w:rPr>
    </w:lvl>
    <w:lvl w:ilvl="5" w:tplc="3EE078D0">
      <w:start w:val="1"/>
      <w:numFmt w:val="bullet"/>
      <w:lvlText w:val=""/>
      <w:lvlJc w:val="left"/>
      <w:pPr>
        <w:ind w:left="4320" w:hanging="360"/>
      </w:pPr>
      <w:rPr>
        <w:rFonts w:ascii="Wingdings" w:hAnsi="Wingdings" w:hint="default"/>
      </w:rPr>
    </w:lvl>
    <w:lvl w:ilvl="6" w:tplc="3078B77A">
      <w:start w:val="1"/>
      <w:numFmt w:val="bullet"/>
      <w:lvlText w:val=""/>
      <w:lvlJc w:val="left"/>
      <w:pPr>
        <w:ind w:left="5040" w:hanging="360"/>
      </w:pPr>
      <w:rPr>
        <w:rFonts w:ascii="Symbol" w:hAnsi="Symbol" w:hint="default"/>
      </w:rPr>
    </w:lvl>
    <w:lvl w:ilvl="7" w:tplc="3DC05E72">
      <w:start w:val="1"/>
      <w:numFmt w:val="bullet"/>
      <w:lvlText w:val="o"/>
      <w:lvlJc w:val="left"/>
      <w:pPr>
        <w:ind w:left="5760" w:hanging="360"/>
      </w:pPr>
      <w:rPr>
        <w:rFonts w:ascii="Courier New" w:hAnsi="Courier New" w:hint="default"/>
      </w:rPr>
    </w:lvl>
    <w:lvl w:ilvl="8" w:tplc="C8C0F93A">
      <w:start w:val="1"/>
      <w:numFmt w:val="bullet"/>
      <w:lvlText w:val=""/>
      <w:lvlJc w:val="left"/>
      <w:pPr>
        <w:ind w:left="6480" w:hanging="360"/>
      </w:pPr>
      <w:rPr>
        <w:rFonts w:ascii="Wingdings" w:hAnsi="Wingdings" w:hint="default"/>
      </w:rPr>
    </w:lvl>
  </w:abstractNum>
  <w:abstractNum w:abstractNumId="16" w15:restartNumberingAfterBreak="0">
    <w:nsid w:val="57F9375C"/>
    <w:multiLevelType w:val="hybridMultilevel"/>
    <w:tmpl w:val="F8C2AE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B1226BF"/>
    <w:multiLevelType w:val="hybridMultilevel"/>
    <w:tmpl w:val="FFFFFFFF"/>
    <w:lvl w:ilvl="0" w:tplc="34949182">
      <w:start w:val="1"/>
      <w:numFmt w:val="bullet"/>
      <w:lvlText w:val=""/>
      <w:lvlJc w:val="left"/>
      <w:pPr>
        <w:ind w:left="720" w:hanging="360"/>
      </w:pPr>
      <w:rPr>
        <w:rFonts w:ascii="Symbol" w:hAnsi="Symbol" w:hint="default"/>
      </w:rPr>
    </w:lvl>
    <w:lvl w:ilvl="1" w:tplc="B950A828">
      <w:start w:val="1"/>
      <w:numFmt w:val="bullet"/>
      <w:lvlText w:val="o"/>
      <w:lvlJc w:val="left"/>
      <w:pPr>
        <w:ind w:left="1440" w:hanging="360"/>
      </w:pPr>
      <w:rPr>
        <w:rFonts w:ascii="Courier New" w:hAnsi="Courier New" w:hint="default"/>
      </w:rPr>
    </w:lvl>
    <w:lvl w:ilvl="2" w:tplc="A4B8A180">
      <w:start w:val="1"/>
      <w:numFmt w:val="bullet"/>
      <w:lvlText w:val=""/>
      <w:lvlJc w:val="left"/>
      <w:pPr>
        <w:ind w:left="2160" w:hanging="360"/>
      </w:pPr>
      <w:rPr>
        <w:rFonts w:ascii="Wingdings" w:hAnsi="Wingdings" w:hint="default"/>
      </w:rPr>
    </w:lvl>
    <w:lvl w:ilvl="3" w:tplc="55724B0C">
      <w:start w:val="1"/>
      <w:numFmt w:val="bullet"/>
      <w:lvlText w:val=""/>
      <w:lvlJc w:val="left"/>
      <w:pPr>
        <w:ind w:left="2880" w:hanging="360"/>
      </w:pPr>
      <w:rPr>
        <w:rFonts w:ascii="Symbol" w:hAnsi="Symbol" w:hint="default"/>
      </w:rPr>
    </w:lvl>
    <w:lvl w:ilvl="4" w:tplc="673C046C">
      <w:start w:val="1"/>
      <w:numFmt w:val="bullet"/>
      <w:lvlText w:val="o"/>
      <w:lvlJc w:val="left"/>
      <w:pPr>
        <w:ind w:left="3600" w:hanging="360"/>
      </w:pPr>
      <w:rPr>
        <w:rFonts w:ascii="Courier New" w:hAnsi="Courier New" w:hint="default"/>
      </w:rPr>
    </w:lvl>
    <w:lvl w:ilvl="5" w:tplc="00F8A62A">
      <w:start w:val="1"/>
      <w:numFmt w:val="bullet"/>
      <w:lvlText w:val=""/>
      <w:lvlJc w:val="left"/>
      <w:pPr>
        <w:ind w:left="4320" w:hanging="360"/>
      </w:pPr>
      <w:rPr>
        <w:rFonts w:ascii="Wingdings" w:hAnsi="Wingdings" w:hint="default"/>
      </w:rPr>
    </w:lvl>
    <w:lvl w:ilvl="6" w:tplc="2A9E6972">
      <w:start w:val="1"/>
      <w:numFmt w:val="bullet"/>
      <w:lvlText w:val=""/>
      <w:lvlJc w:val="left"/>
      <w:pPr>
        <w:ind w:left="5040" w:hanging="360"/>
      </w:pPr>
      <w:rPr>
        <w:rFonts w:ascii="Symbol" w:hAnsi="Symbol" w:hint="default"/>
      </w:rPr>
    </w:lvl>
    <w:lvl w:ilvl="7" w:tplc="BDE20192">
      <w:start w:val="1"/>
      <w:numFmt w:val="bullet"/>
      <w:lvlText w:val="o"/>
      <w:lvlJc w:val="left"/>
      <w:pPr>
        <w:ind w:left="5760" w:hanging="360"/>
      </w:pPr>
      <w:rPr>
        <w:rFonts w:ascii="Courier New" w:hAnsi="Courier New" w:hint="default"/>
      </w:rPr>
    </w:lvl>
    <w:lvl w:ilvl="8" w:tplc="810C238A">
      <w:start w:val="1"/>
      <w:numFmt w:val="bullet"/>
      <w:lvlText w:val=""/>
      <w:lvlJc w:val="left"/>
      <w:pPr>
        <w:ind w:left="6480" w:hanging="360"/>
      </w:pPr>
      <w:rPr>
        <w:rFonts w:ascii="Wingdings" w:hAnsi="Wingdings" w:hint="default"/>
      </w:rPr>
    </w:lvl>
  </w:abstractNum>
  <w:abstractNum w:abstractNumId="18" w15:restartNumberingAfterBreak="0">
    <w:nsid w:val="6688425A"/>
    <w:multiLevelType w:val="hybridMultilevel"/>
    <w:tmpl w:val="6D54C0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6935A29"/>
    <w:multiLevelType w:val="hybridMultilevel"/>
    <w:tmpl w:val="521A0DC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AF0777A"/>
    <w:multiLevelType w:val="hybridMultilevel"/>
    <w:tmpl w:val="5922D106"/>
    <w:lvl w:ilvl="0" w:tplc="6B621EDE">
      <w:start w:val="1"/>
      <w:numFmt w:val="bullet"/>
      <w:lvlText w:val=""/>
      <w:lvlJc w:val="left"/>
      <w:pPr>
        <w:ind w:left="720" w:hanging="360"/>
      </w:pPr>
      <w:rPr>
        <w:rFonts w:ascii="Symbol" w:hAnsi="Symbol" w:hint="default"/>
      </w:rPr>
    </w:lvl>
    <w:lvl w:ilvl="1" w:tplc="7E621D92">
      <w:start w:val="1"/>
      <w:numFmt w:val="bullet"/>
      <w:lvlText w:val="o"/>
      <w:lvlJc w:val="left"/>
      <w:pPr>
        <w:ind w:left="1440" w:hanging="360"/>
      </w:pPr>
      <w:rPr>
        <w:rFonts w:ascii="Courier New" w:hAnsi="Courier New" w:hint="default"/>
      </w:rPr>
    </w:lvl>
    <w:lvl w:ilvl="2" w:tplc="B17C58A8">
      <w:start w:val="1"/>
      <w:numFmt w:val="bullet"/>
      <w:lvlText w:val=""/>
      <w:lvlJc w:val="left"/>
      <w:pPr>
        <w:ind w:left="2160" w:hanging="360"/>
      </w:pPr>
      <w:rPr>
        <w:rFonts w:ascii="Wingdings" w:hAnsi="Wingdings" w:hint="default"/>
      </w:rPr>
    </w:lvl>
    <w:lvl w:ilvl="3" w:tplc="ADC26B48">
      <w:start w:val="1"/>
      <w:numFmt w:val="bullet"/>
      <w:lvlText w:val=""/>
      <w:lvlJc w:val="left"/>
      <w:pPr>
        <w:ind w:left="2880" w:hanging="360"/>
      </w:pPr>
      <w:rPr>
        <w:rFonts w:ascii="Symbol" w:hAnsi="Symbol" w:hint="default"/>
      </w:rPr>
    </w:lvl>
    <w:lvl w:ilvl="4" w:tplc="3B92D292">
      <w:start w:val="1"/>
      <w:numFmt w:val="bullet"/>
      <w:lvlText w:val="o"/>
      <w:lvlJc w:val="left"/>
      <w:pPr>
        <w:ind w:left="3600" w:hanging="360"/>
      </w:pPr>
      <w:rPr>
        <w:rFonts w:ascii="Courier New" w:hAnsi="Courier New" w:hint="default"/>
      </w:rPr>
    </w:lvl>
    <w:lvl w:ilvl="5" w:tplc="E0500D20">
      <w:start w:val="1"/>
      <w:numFmt w:val="bullet"/>
      <w:lvlText w:val=""/>
      <w:lvlJc w:val="left"/>
      <w:pPr>
        <w:ind w:left="4320" w:hanging="360"/>
      </w:pPr>
      <w:rPr>
        <w:rFonts w:ascii="Wingdings" w:hAnsi="Wingdings" w:hint="default"/>
      </w:rPr>
    </w:lvl>
    <w:lvl w:ilvl="6" w:tplc="06DEC678">
      <w:start w:val="1"/>
      <w:numFmt w:val="bullet"/>
      <w:lvlText w:val=""/>
      <w:lvlJc w:val="left"/>
      <w:pPr>
        <w:ind w:left="5040" w:hanging="360"/>
      </w:pPr>
      <w:rPr>
        <w:rFonts w:ascii="Symbol" w:hAnsi="Symbol" w:hint="default"/>
      </w:rPr>
    </w:lvl>
    <w:lvl w:ilvl="7" w:tplc="64462E94">
      <w:start w:val="1"/>
      <w:numFmt w:val="bullet"/>
      <w:lvlText w:val="o"/>
      <w:lvlJc w:val="left"/>
      <w:pPr>
        <w:ind w:left="5760" w:hanging="360"/>
      </w:pPr>
      <w:rPr>
        <w:rFonts w:ascii="Courier New" w:hAnsi="Courier New" w:hint="default"/>
      </w:rPr>
    </w:lvl>
    <w:lvl w:ilvl="8" w:tplc="29063104">
      <w:start w:val="1"/>
      <w:numFmt w:val="bullet"/>
      <w:lvlText w:val=""/>
      <w:lvlJc w:val="left"/>
      <w:pPr>
        <w:ind w:left="6480" w:hanging="360"/>
      </w:pPr>
      <w:rPr>
        <w:rFonts w:ascii="Wingdings" w:hAnsi="Wingdings" w:hint="default"/>
      </w:rPr>
    </w:lvl>
  </w:abstractNum>
  <w:abstractNum w:abstractNumId="21" w15:restartNumberingAfterBreak="0">
    <w:nsid w:val="6CC17D02"/>
    <w:multiLevelType w:val="hybridMultilevel"/>
    <w:tmpl w:val="F01859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D773E4C"/>
    <w:multiLevelType w:val="hybridMultilevel"/>
    <w:tmpl w:val="5E0A15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261E5F3"/>
    <w:multiLevelType w:val="hybridMultilevel"/>
    <w:tmpl w:val="FB0CAEC6"/>
    <w:lvl w:ilvl="0" w:tplc="63482D60">
      <w:start w:val="1"/>
      <w:numFmt w:val="bullet"/>
      <w:lvlText w:val=""/>
      <w:lvlJc w:val="left"/>
      <w:pPr>
        <w:ind w:left="720" w:hanging="360"/>
      </w:pPr>
      <w:rPr>
        <w:rFonts w:ascii="Symbol" w:hAnsi="Symbol" w:hint="default"/>
      </w:rPr>
    </w:lvl>
    <w:lvl w:ilvl="1" w:tplc="33D61E60">
      <w:start w:val="1"/>
      <w:numFmt w:val="bullet"/>
      <w:lvlText w:val="o"/>
      <w:lvlJc w:val="left"/>
      <w:pPr>
        <w:ind w:left="1440" w:hanging="360"/>
      </w:pPr>
      <w:rPr>
        <w:rFonts w:ascii="Courier New" w:hAnsi="Courier New" w:hint="default"/>
      </w:rPr>
    </w:lvl>
    <w:lvl w:ilvl="2" w:tplc="B3625A24">
      <w:start w:val="1"/>
      <w:numFmt w:val="bullet"/>
      <w:lvlText w:val=""/>
      <w:lvlJc w:val="left"/>
      <w:pPr>
        <w:ind w:left="2160" w:hanging="360"/>
      </w:pPr>
      <w:rPr>
        <w:rFonts w:ascii="Wingdings" w:hAnsi="Wingdings" w:hint="default"/>
      </w:rPr>
    </w:lvl>
    <w:lvl w:ilvl="3" w:tplc="9418C4B2">
      <w:start w:val="1"/>
      <w:numFmt w:val="bullet"/>
      <w:lvlText w:val=""/>
      <w:lvlJc w:val="left"/>
      <w:pPr>
        <w:ind w:left="2880" w:hanging="360"/>
      </w:pPr>
      <w:rPr>
        <w:rFonts w:ascii="Symbol" w:hAnsi="Symbol" w:hint="default"/>
      </w:rPr>
    </w:lvl>
    <w:lvl w:ilvl="4" w:tplc="6D8E65CE">
      <w:start w:val="1"/>
      <w:numFmt w:val="bullet"/>
      <w:lvlText w:val="o"/>
      <w:lvlJc w:val="left"/>
      <w:pPr>
        <w:ind w:left="3600" w:hanging="360"/>
      </w:pPr>
      <w:rPr>
        <w:rFonts w:ascii="Courier New" w:hAnsi="Courier New" w:hint="default"/>
      </w:rPr>
    </w:lvl>
    <w:lvl w:ilvl="5" w:tplc="12BC1ADC">
      <w:start w:val="1"/>
      <w:numFmt w:val="bullet"/>
      <w:lvlText w:val=""/>
      <w:lvlJc w:val="left"/>
      <w:pPr>
        <w:ind w:left="4320" w:hanging="360"/>
      </w:pPr>
      <w:rPr>
        <w:rFonts w:ascii="Wingdings" w:hAnsi="Wingdings" w:hint="default"/>
      </w:rPr>
    </w:lvl>
    <w:lvl w:ilvl="6" w:tplc="EF529C86">
      <w:start w:val="1"/>
      <w:numFmt w:val="bullet"/>
      <w:lvlText w:val=""/>
      <w:lvlJc w:val="left"/>
      <w:pPr>
        <w:ind w:left="5040" w:hanging="360"/>
      </w:pPr>
      <w:rPr>
        <w:rFonts w:ascii="Symbol" w:hAnsi="Symbol" w:hint="default"/>
      </w:rPr>
    </w:lvl>
    <w:lvl w:ilvl="7" w:tplc="384AF254">
      <w:start w:val="1"/>
      <w:numFmt w:val="bullet"/>
      <w:lvlText w:val="o"/>
      <w:lvlJc w:val="left"/>
      <w:pPr>
        <w:ind w:left="5760" w:hanging="360"/>
      </w:pPr>
      <w:rPr>
        <w:rFonts w:ascii="Courier New" w:hAnsi="Courier New" w:hint="default"/>
      </w:rPr>
    </w:lvl>
    <w:lvl w:ilvl="8" w:tplc="488A60BE">
      <w:start w:val="1"/>
      <w:numFmt w:val="bullet"/>
      <w:lvlText w:val=""/>
      <w:lvlJc w:val="left"/>
      <w:pPr>
        <w:ind w:left="6480" w:hanging="360"/>
      </w:pPr>
      <w:rPr>
        <w:rFonts w:ascii="Wingdings" w:hAnsi="Wingdings" w:hint="default"/>
      </w:rPr>
    </w:lvl>
  </w:abstractNum>
  <w:abstractNum w:abstractNumId="24" w15:restartNumberingAfterBreak="0">
    <w:nsid w:val="760DEDB7"/>
    <w:multiLevelType w:val="hybridMultilevel"/>
    <w:tmpl w:val="F6CC9416"/>
    <w:lvl w:ilvl="0" w:tplc="7AC2D66E">
      <w:start w:val="1"/>
      <w:numFmt w:val="bullet"/>
      <w:lvlText w:val=""/>
      <w:lvlJc w:val="left"/>
      <w:pPr>
        <w:ind w:left="720" w:hanging="360"/>
      </w:pPr>
      <w:rPr>
        <w:rFonts w:ascii="Symbol" w:hAnsi="Symbol" w:hint="default"/>
      </w:rPr>
    </w:lvl>
    <w:lvl w:ilvl="1" w:tplc="E96A4FF8">
      <w:start w:val="1"/>
      <w:numFmt w:val="bullet"/>
      <w:lvlText w:val="o"/>
      <w:lvlJc w:val="left"/>
      <w:pPr>
        <w:ind w:left="1440" w:hanging="360"/>
      </w:pPr>
      <w:rPr>
        <w:rFonts w:ascii="Courier New" w:hAnsi="Courier New" w:hint="default"/>
      </w:rPr>
    </w:lvl>
    <w:lvl w:ilvl="2" w:tplc="349A596A">
      <w:start w:val="1"/>
      <w:numFmt w:val="bullet"/>
      <w:lvlText w:val=""/>
      <w:lvlJc w:val="left"/>
      <w:pPr>
        <w:ind w:left="2160" w:hanging="360"/>
      </w:pPr>
      <w:rPr>
        <w:rFonts w:ascii="Wingdings" w:hAnsi="Wingdings" w:hint="default"/>
      </w:rPr>
    </w:lvl>
    <w:lvl w:ilvl="3" w:tplc="CFE62F6C">
      <w:start w:val="1"/>
      <w:numFmt w:val="bullet"/>
      <w:lvlText w:val=""/>
      <w:lvlJc w:val="left"/>
      <w:pPr>
        <w:ind w:left="2880" w:hanging="360"/>
      </w:pPr>
      <w:rPr>
        <w:rFonts w:ascii="Symbol" w:hAnsi="Symbol" w:hint="default"/>
      </w:rPr>
    </w:lvl>
    <w:lvl w:ilvl="4" w:tplc="B9126DF2">
      <w:start w:val="1"/>
      <w:numFmt w:val="bullet"/>
      <w:lvlText w:val="o"/>
      <w:lvlJc w:val="left"/>
      <w:pPr>
        <w:ind w:left="3600" w:hanging="360"/>
      </w:pPr>
      <w:rPr>
        <w:rFonts w:ascii="Courier New" w:hAnsi="Courier New" w:hint="default"/>
      </w:rPr>
    </w:lvl>
    <w:lvl w:ilvl="5" w:tplc="496AEAF4">
      <w:start w:val="1"/>
      <w:numFmt w:val="bullet"/>
      <w:lvlText w:val=""/>
      <w:lvlJc w:val="left"/>
      <w:pPr>
        <w:ind w:left="4320" w:hanging="360"/>
      </w:pPr>
      <w:rPr>
        <w:rFonts w:ascii="Wingdings" w:hAnsi="Wingdings" w:hint="default"/>
      </w:rPr>
    </w:lvl>
    <w:lvl w:ilvl="6" w:tplc="16CE2FF2">
      <w:start w:val="1"/>
      <w:numFmt w:val="bullet"/>
      <w:lvlText w:val=""/>
      <w:lvlJc w:val="left"/>
      <w:pPr>
        <w:ind w:left="5040" w:hanging="360"/>
      </w:pPr>
      <w:rPr>
        <w:rFonts w:ascii="Symbol" w:hAnsi="Symbol" w:hint="default"/>
      </w:rPr>
    </w:lvl>
    <w:lvl w:ilvl="7" w:tplc="CB90DCA8">
      <w:start w:val="1"/>
      <w:numFmt w:val="bullet"/>
      <w:lvlText w:val="o"/>
      <w:lvlJc w:val="left"/>
      <w:pPr>
        <w:ind w:left="5760" w:hanging="360"/>
      </w:pPr>
      <w:rPr>
        <w:rFonts w:ascii="Courier New" w:hAnsi="Courier New" w:hint="default"/>
      </w:rPr>
    </w:lvl>
    <w:lvl w:ilvl="8" w:tplc="C5C84338">
      <w:start w:val="1"/>
      <w:numFmt w:val="bullet"/>
      <w:lvlText w:val=""/>
      <w:lvlJc w:val="left"/>
      <w:pPr>
        <w:ind w:left="6480" w:hanging="360"/>
      </w:pPr>
      <w:rPr>
        <w:rFonts w:ascii="Wingdings" w:hAnsi="Wingdings" w:hint="default"/>
      </w:rPr>
    </w:lvl>
  </w:abstractNum>
  <w:abstractNum w:abstractNumId="25" w15:restartNumberingAfterBreak="0">
    <w:nsid w:val="76155C18"/>
    <w:multiLevelType w:val="hybridMultilevel"/>
    <w:tmpl w:val="B2260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A81A7F"/>
    <w:multiLevelType w:val="hybridMultilevel"/>
    <w:tmpl w:val="FFFFFFFF"/>
    <w:lvl w:ilvl="0" w:tplc="D26AE5B6">
      <w:start w:val="1"/>
      <w:numFmt w:val="bullet"/>
      <w:lvlText w:val=""/>
      <w:lvlJc w:val="left"/>
      <w:pPr>
        <w:ind w:left="720" w:hanging="360"/>
      </w:pPr>
      <w:rPr>
        <w:rFonts w:ascii="Symbol" w:hAnsi="Symbol" w:hint="default"/>
      </w:rPr>
    </w:lvl>
    <w:lvl w:ilvl="1" w:tplc="04269D7C">
      <w:start w:val="1"/>
      <w:numFmt w:val="bullet"/>
      <w:lvlText w:val="o"/>
      <w:lvlJc w:val="left"/>
      <w:pPr>
        <w:ind w:left="1440" w:hanging="360"/>
      </w:pPr>
      <w:rPr>
        <w:rFonts w:ascii="Courier New" w:hAnsi="Courier New" w:hint="default"/>
      </w:rPr>
    </w:lvl>
    <w:lvl w:ilvl="2" w:tplc="332099BA">
      <w:start w:val="1"/>
      <w:numFmt w:val="bullet"/>
      <w:lvlText w:val=""/>
      <w:lvlJc w:val="left"/>
      <w:pPr>
        <w:ind w:left="2160" w:hanging="360"/>
      </w:pPr>
      <w:rPr>
        <w:rFonts w:ascii="Wingdings" w:hAnsi="Wingdings" w:hint="default"/>
      </w:rPr>
    </w:lvl>
    <w:lvl w:ilvl="3" w:tplc="E5C0AAE4">
      <w:start w:val="1"/>
      <w:numFmt w:val="bullet"/>
      <w:lvlText w:val=""/>
      <w:lvlJc w:val="left"/>
      <w:pPr>
        <w:ind w:left="2880" w:hanging="360"/>
      </w:pPr>
      <w:rPr>
        <w:rFonts w:ascii="Symbol" w:hAnsi="Symbol" w:hint="default"/>
      </w:rPr>
    </w:lvl>
    <w:lvl w:ilvl="4" w:tplc="738C5364">
      <w:start w:val="1"/>
      <w:numFmt w:val="bullet"/>
      <w:lvlText w:val="o"/>
      <w:lvlJc w:val="left"/>
      <w:pPr>
        <w:ind w:left="3600" w:hanging="360"/>
      </w:pPr>
      <w:rPr>
        <w:rFonts w:ascii="Courier New" w:hAnsi="Courier New" w:hint="default"/>
      </w:rPr>
    </w:lvl>
    <w:lvl w:ilvl="5" w:tplc="A6F0D51E">
      <w:start w:val="1"/>
      <w:numFmt w:val="bullet"/>
      <w:lvlText w:val=""/>
      <w:lvlJc w:val="left"/>
      <w:pPr>
        <w:ind w:left="4320" w:hanging="360"/>
      </w:pPr>
      <w:rPr>
        <w:rFonts w:ascii="Wingdings" w:hAnsi="Wingdings" w:hint="default"/>
      </w:rPr>
    </w:lvl>
    <w:lvl w:ilvl="6" w:tplc="9BACBDA2">
      <w:start w:val="1"/>
      <w:numFmt w:val="bullet"/>
      <w:lvlText w:val=""/>
      <w:lvlJc w:val="left"/>
      <w:pPr>
        <w:ind w:left="5040" w:hanging="360"/>
      </w:pPr>
      <w:rPr>
        <w:rFonts w:ascii="Symbol" w:hAnsi="Symbol" w:hint="default"/>
      </w:rPr>
    </w:lvl>
    <w:lvl w:ilvl="7" w:tplc="60D2F4B8">
      <w:start w:val="1"/>
      <w:numFmt w:val="bullet"/>
      <w:lvlText w:val="o"/>
      <w:lvlJc w:val="left"/>
      <w:pPr>
        <w:ind w:left="5760" w:hanging="360"/>
      </w:pPr>
      <w:rPr>
        <w:rFonts w:ascii="Courier New" w:hAnsi="Courier New" w:hint="default"/>
      </w:rPr>
    </w:lvl>
    <w:lvl w:ilvl="8" w:tplc="C7F0E02C">
      <w:start w:val="1"/>
      <w:numFmt w:val="bullet"/>
      <w:lvlText w:val=""/>
      <w:lvlJc w:val="left"/>
      <w:pPr>
        <w:ind w:left="6480" w:hanging="360"/>
      </w:pPr>
      <w:rPr>
        <w:rFonts w:ascii="Wingdings" w:hAnsi="Wingdings" w:hint="default"/>
      </w:rPr>
    </w:lvl>
  </w:abstractNum>
  <w:abstractNum w:abstractNumId="27" w15:restartNumberingAfterBreak="0">
    <w:nsid w:val="7D8B4FBF"/>
    <w:multiLevelType w:val="multilevel"/>
    <w:tmpl w:val="781078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44251645">
    <w:abstractNumId w:val="17"/>
  </w:num>
  <w:num w:numId="2" w16cid:durableId="2085762682">
    <w:abstractNumId w:val="26"/>
  </w:num>
  <w:num w:numId="3" w16cid:durableId="875042858">
    <w:abstractNumId w:val="2"/>
  </w:num>
  <w:num w:numId="4" w16cid:durableId="1607270454">
    <w:abstractNumId w:val="8"/>
  </w:num>
  <w:num w:numId="5" w16cid:durableId="1138962080">
    <w:abstractNumId w:val="6"/>
  </w:num>
  <w:num w:numId="6" w16cid:durableId="715740009">
    <w:abstractNumId w:val="11"/>
  </w:num>
  <w:num w:numId="7" w16cid:durableId="612906361">
    <w:abstractNumId w:val="15"/>
  </w:num>
  <w:num w:numId="8" w16cid:durableId="1485270947">
    <w:abstractNumId w:val="20"/>
  </w:num>
  <w:num w:numId="9" w16cid:durableId="1492015699">
    <w:abstractNumId w:val="1"/>
  </w:num>
  <w:num w:numId="10" w16cid:durableId="637732948">
    <w:abstractNumId w:val="5"/>
  </w:num>
  <w:num w:numId="11" w16cid:durableId="963078854">
    <w:abstractNumId w:val="23"/>
  </w:num>
  <w:num w:numId="12" w16cid:durableId="1057240217">
    <w:abstractNumId w:val="27"/>
  </w:num>
  <w:num w:numId="13" w16cid:durableId="676737432">
    <w:abstractNumId w:val="9"/>
  </w:num>
  <w:num w:numId="14" w16cid:durableId="1208755570">
    <w:abstractNumId w:val="24"/>
  </w:num>
  <w:num w:numId="15" w16cid:durableId="1091241525">
    <w:abstractNumId w:val="14"/>
  </w:num>
  <w:num w:numId="16" w16cid:durableId="812716605">
    <w:abstractNumId w:val="16"/>
  </w:num>
  <w:num w:numId="17" w16cid:durableId="2009478168">
    <w:abstractNumId w:val="12"/>
  </w:num>
  <w:num w:numId="18" w16cid:durableId="710155061">
    <w:abstractNumId w:val="18"/>
  </w:num>
  <w:num w:numId="19" w16cid:durableId="1060514197">
    <w:abstractNumId w:val="21"/>
  </w:num>
  <w:num w:numId="20" w16cid:durableId="293292286">
    <w:abstractNumId w:val="3"/>
  </w:num>
  <w:num w:numId="21" w16cid:durableId="1400326138">
    <w:abstractNumId w:val="0"/>
  </w:num>
  <w:num w:numId="22" w16cid:durableId="726146602">
    <w:abstractNumId w:val="22"/>
  </w:num>
  <w:num w:numId="23" w16cid:durableId="1877430974">
    <w:abstractNumId w:val="4"/>
  </w:num>
  <w:num w:numId="24" w16cid:durableId="7015206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38372831">
    <w:abstractNumId w:val="13"/>
  </w:num>
  <w:num w:numId="26" w16cid:durableId="1448230300">
    <w:abstractNumId w:val="19"/>
  </w:num>
  <w:num w:numId="27" w16cid:durableId="938561310">
    <w:abstractNumId w:val="25"/>
  </w:num>
  <w:num w:numId="28" w16cid:durableId="297153010">
    <w:abstractNumId w:val="7"/>
  </w:num>
  <w:num w:numId="29" w16cid:durableId="26346541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6A4F25"/>
    <w:rsid w:val="00001868"/>
    <w:rsid w:val="00006479"/>
    <w:rsid w:val="000143DA"/>
    <w:rsid w:val="00017B37"/>
    <w:rsid w:val="00021063"/>
    <w:rsid w:val="00021089"/>
    <w:rsid w:val="0002168F"/>
    <w:rsid w:val="000222F9"/>
    <w:rsid w:val="00024806"/>
    <w:rsid w:val="00031659"/>
    <w:rsid w:val="00033AE4"/>
    <w:rsid w:val="000353F8"/>
    <w:rsid w:val="000400D6"/>
    <w:rsid w:val="00044127"/>
    <w:rsid w:val="000526B7"/>
    <w:rsid w:val="00054973"/>
    <w:rsid w:val="00056731"/>
    <w:rsid w:val="000568D8"/>
    <w:rsid w:val="000601AF"/>
    <w:rsid w:val="00060C66"/>
    <w:rsid w:val="00063638"/>
    <w:rsid w:val="00066096"/>
    <w:rsid w:val="00070B53"/>
    <w:rsid w:val="00072D37"/>
    <w:rsid w:val="00076503"/>
    <w:rsid w:val="00077878"/>
    <w:rsid w:val="00081658"/>
    <w:rsid w:val="00082573"/>
    <w:rsid w:val="00085ABE"/>
    <w:rsid w:val="000910E4"/>
    <w:rsid w:val="00091758"/>
    <w:rsid w:val="00091DA1"/>
    <w:rsid w:val="00091DDF"/>
    <w:rsid w:val="00092C6F"/>
    <w:rsid w:val="00094791"/>
    <w:rsid w:val="000958B2"/>
    <w:rsid w:val="000A0327"/>
    <w:rsid w:val="000A224A"/>
    <w:rsid w:val="000A7428"/>
    <w:rsid w:val="000B3540"/>
    <w:rsid w:val="000B6F5A"/>
    <w:rsid w:val="000C05DF"/>
    <w:rsid w:val="000C0B1C"/>
    <w:rsid w:val="000C1011"/>
    <w:rsid w:val="000C58BB"/>
    <w:rsid w:val="000C5A69"/>
    <w:rsid w:val="000C5B0B"/>
    <w:rsid w:val="000D0C1E"/>
    <w:rsid w:val="000D266D"/>
    <w:rsid w:val="000D38EB"/>
    <w:rsid w:val="000E0118"/>
    <w:rsid w:val="000E07A6"/>
    <w:rsid w:val="000E13D4"/>
    <w:rsid w:val="000F0A02"/>
    <w:rsid w:val="000F137E"/>
    <w:rsid w:val="000F5959"/>
    <w:rsid w:val="000F6C74"/>
    <w:rsid w:val="000F73E7"/>
    <w:rsid w:val="00102CD4"/>
    <w:rsid w:val="001034C9"/>
    <w:rsid w:val="001039DA"/>
    <w:rsid w:val="00103A5B"/>
    <w:rsid w:val="00105066"/>
    <w:rsid w:val="00107CA2"/>
    <w:rsid w:val="001106E9"/>
    <w:rsid w:val="001126CF"/>
    <w:rsid w:val="00113929"/>
    <w:rsid w:val="00114728"/>
    <w:rsid w:val="00115E6E"/>
    <w:rsid w:val="001178F6"/>
    <w:rsid w:val="00121EEA"/>
    <w:rsid w:val="00123538"/>
    <w:rsid w:val="001267D5"/>
    <w:rsid w:val="00131301"/>
    <w:rsid w:val="00133865"/>
    <w:rsid w:val="00135F22"/>
    <w:rsid w:val="001374E2"/>
    <w:rsid w:val="001429F6"/>
    <w:rsid w:val="0014578E"/>
    <w:rsid w:val="00150B49"/>
    <w:rsid w:val="0015192C"/>
    <w:rsid w:val="00152715"/>
    <w:rsid w:val="0015491A"/>
    <w:rsid w:val="00154E62"/>
    <w:rsid w:val="00155FC7"/>
    <w:rsid w:val="0016246E"/>
    <w:rsid w:val="00164E9B"/>
    <w:rsid w:val="00165365"/>
    <w:rsid w:val="00167A24"/>
    <w:rsid w:val="0017090D"/>
    <w:rsid w:val="00170E0C"/>
    <w:rsid w:val="001730BF"/>
    <w:rsid w:val="00175AC0"/>
    <w:rsid w:val="00177A97"/>
    <w:rsid w:val="001819D9"/>
    <w:rsid w:val="00184877"/>
    <w:rsid w:val="0019180B"/>
    <w:rsid w:val="001A30B6"/>
    <w:rsid w:val="001A4382"/>
    <w:rsid w:val="001A53B1"/>
    <w:rsid w:val="001A612C"/>
    <w:rsid w:val="001A6E3C"/>
    <w:rsid w:val="001A7DA0"/>
    <w:rsid w:val="001A7F51"/>
    <w:rsid w:val="001B2634"/>
    <w:rsid w:val="001B6968"/>
    <w:rsid w:val="001C2472"/>
    <w:rsid w:val="001C24BB"/>
    <w:rsid w:val="001C442F"/>
    <w:rsid w:val="001D58C6"/>
    <w:rsid w:val="001D5989"/>
    <w:rsid w:val="001E014C"/>
    <w:rsid w:val="001E5650"/>
    <w:rsid w:val="001E660C"/>
    <w:rsid w:val="001E6969"/>
    <w:rsid w:val="001E7B8E"/>
    <w:rsid w:val="001F489E"/>
    <w:rsid w:val="001F4F7A"/>
    <w:rsid w:val="001F60F2"/>
    <w:rsid w:val="00202228"/>
    <w:rsid w:val="002058C5"/>
    <w:rsid w:val="002061B0"/>
    <w:rsid w:val="00211B49"/>
    <w:rsid w:val="002137AA"/>
    <w:rsid w:val="00220A72"/>
    <w:rsid w:val="00221551"/>
    <w:rsid w:val="0022229D"/>
    <w:rsid w:val="002250AF"/>
    <w:rsid w:val="0022623C"/>
    <w:rsid w:val="00227F21"/>
    <w:rsid w:val="002307E4"/>
    <w:rsid w:val="0023620A"/>
    <w:rsid w:val="0023661C"/>
    <w:rsid w:val="00240801"/>
    <w:rsid w:val="00242474"/>
    <w:rsid w:val="0024402B"/>
    <w:rsid w:val="00244AEA"/>
    <w:rsid w:val="00247513"/>
    <w:rsid w:val="00250164"/>
    <w:rsid w:val="002604FC"/>
    <w:rsid w:val="00262992"/>
    <w:rsid w:val="00262E02"/>
    <w:rsid w:val="00263F6A"/>
    <w:rsid w:val="00267CEE"/>
    <w:rsid w:val="00270153"/>
    <w:rsid w:val="00280B31"/>
    <w:rsid w:val="00282589"/>
    <w:rsid w:val="00284A53"/>
    <w:rsid w:val="00286F90"/>
    <w:rsid w:val="002875FF"/>
    <w:rsid w:val="0028789B"/>
    <w:rsid w:val="00291D9E"/>
    <w:rsid w:val="002922A9"/>
    <w:rsid w:val="002A2D87"/>
    <w:rsid w:val="002B0A52"/>
    <w:rsid w:val="002B2A09"/>
    <w:rsid w:val="002B2DEF"/>
    <w:rsid w:val="002B3DF3"/>
    <w:rsid w:val="002B560A"/>
    <w:rsid w:val="002B63E9"/>
    <w:rsid w:val="002C0D0D"/>
    <w:rsid w:val="002C198E"/>
    <w:rsid w:val="002C3B9E"/>
    <w:rsid w:val="002E0FFD"/>
    <w:rsid w:val="002E1F5B"/>
    <w:rsid w:val="002E3593"/>
    <w:rsid w:val="002E577D"/>
    <w:rsid w:val="002E6770"/>
    <w:rsid w:val="002F1FE2"/>
    <w:rsid w:val="002F2F4D"/>
    <w:rsid w:val="002F4322"/>
    <w:rsid w:val="002F6BD0"/>
    <w:rsid w:val="0030108B"/>
    <w:rsid w:val="003059E5"/>
    <w:rsid w:val="0030695C"/>
    <w:rsid w:val="00307792"/>
    <w:rsid w:val="00310769"/>
    <w:rsid w:val="00313C4B"/>
    <w:rsid w:val="00314219"/>
    <w:rsid w:val="00314F18"/>
    <w:rsid w:val="003167FE"/>
    <w:rsid w:val="0032025A"/>
    <w:rsid w:val="00323BB5"/>
    <w:rsid w:val="00326391"/>
    <w:rsid w:val="00333AF0"/>
    <w:rsid w:val="00336591"/>
    <w:rsid w:val="0034156E"/>
    <w:rsid w:val="00342C4D"/>
    <w:rsid w:val="00344CB3"/>
    <w:rsid w:val="00345606"/>
    <w:rsid w:val="0034741D"/>
    <w:rsid w:val="00347B65"/>
    <w:rsid w:val="00352428"/>
    <w:rsid w:val="003552EF"/>
    <w:rsid w:val="003619B8"/>
    <w:rsid w:val="00365164"/>
    <w:rsid w:val="00366294"/>
    <w:rsid w:val="003706E8"/>
    <w:rsid w:val="00372DA8"/>
    <w:rsid w:val="003764BB"/>
    <w:rsid w:val="00377426"/>
    <w:rsid w:val="00384DC0"/>
    <w:rsid w:val="003877F0"/>
    <w:rsid w:val="003909C2"/>
    <w:rsid w:val="003928B1"/>
    <w:rsid w:val="00393D09"/>
    <w:rsid w:val="00395598"/>
    <w:rsid w:val="00395F32"/>
    <w:rsid w:val="003A2625"/>
    <w:rsid w:val="003A36E2"/>
    <w:rsid w:val="003A680A"/>
    <w:rsid w:val="003A72DE"/>
    <w:rsid w:val="003B137B"/>
    <w:rsid w:val="003B3792"/>
    <w:rsid w:val="003B46DD"/>
    <w:rsid w:val="003B75F8"/>
    <w:rsid w:val="003C08AD"/>
    <w:rsid w:val="003C2E6E"/>
    <w:rsid w:val="003C3896"/>
    <w:rsid w:val="003C4CA0"/>
    <w:rsid w:val="003C6E07"/>
    <w:rsid w:val="003C6E43"/>
    <w:rsid w:val="003C7859"/>
    <w:rsid w:val="003C7C63"/>
    <w:rsid w:val="003D2C11"/>
    <w:rsid w:val="003D525F"/>
    <w:rsid w:val="003E0C3B"/>
    <w:rsid w:val="003E555F"/>
    <w:rsid w:val="003E5C5C"/>
    <w:rsid w:val="003F24F5"/>
    <w:rsid w:val="003F32C0"/>
    <w:rsid w:val="003F448C"/>
    <w:rsid w:val="003F47A1"/>
    <w:rsid w:val="003F5DC6"/>
    <w:rsid w:val="003F69E9"/>
    <w:rsid w:val="00401C6A"/>
    <w:rsid w:val="00402DED"/>
    <w:rsid w:val="00404B21"/>
    <w:rsid w:val="0040758D"/>
    <w:rsid w:val="00411DD4"/>
    <w:rsid w:val="00414B78"/>
    <w:rsid w:val="00415B4D"/>
    <w:rsid w:val="00416FA6"/>
    <w:rsid w:val="004175AB"/>
    <w:rsid w:val="00417B7C"/>
    <w:rsid w:val="004218FD"/>
    <w:rsid w:val="00421A5C"/>
    <w:rsid w:val="00422973"/>
    <w:rsid w:val="00436671"/>
    <w:rsid w:val="004445CD"/>
    <w:rsid w:val="0044468D"/>
    <w:rsid w:val="00445CAF"/>
    <w:rsid w:val="00446062"/>
    <w:rsid w:val="00450F16"/>
    <w:rsid w:val="00451A04"/>
    <w:rsid w:val="00453AF4"/>
    <w:rsid w:val="00455510"/>
    <w:rsid w:val="004577FD"/>
    <w:rsid w:val="004609FB"/>
    <w:rsid w:val="00463232"/>
    <w:rsid w:val="00466F90"/>
    <w:rsid w:val="0046761D"/>
    <w:rsid w:val="00474B61"/>
    <w:rsid w:val="0047543F"/>
    <w:rsid w:val="0047639D"/>
    <w:rsid w:val="004763B7"/>
    <w:rsid w:val="004775D0"/>
    <w:rsid w:val="004800A6"/>
    <w:rsid w:val="00485317"/>
    <w:rsid w:val="004865FD"/>
    <w:rsid w:val="00490FCC"/>
    <w:rsid w:val="00491455"/>
    <w:rsid w:val="00495215"/>
    <w:rsid w:val="004979C0"/>
    <w:rsid w:val="004A1697"/>
    <w:rsid w:val="004A1795"/>
    <w:rsid w:val="004A5485"/>
    <w:rsid w:val="004C04F4"/>
    <w:rsid w:val="004C2930"/>
    <w:rsid w:val="004D06C1"/>
    <w:rsid w:val="004D45C3"/>
    <w:rsid w:val="004D465B"/>
    <w:rsid w:val="004E0045"/>
    <w:rsid w:val="004E42A6"/>
    <w:rsid w:val="004E5441"/>
    <w:rsid w:val="004E5DBA"/>
    <w:rsid w:val="004E5EC1"/>
    <w:rsid w:val="004F34C4"/>
    <w:rsid w:val="004F50C5"/>
    <w:rsid w:val="004F60DC"/>
    <w:rsid w:val="005003A2"/>
    <w:rsid w:val="0050095F"/>
    <w:rsid w:val="0050273C"/>
    <w:rsid w:val="00513484"/>
    <w:rsid w:val="0051369D"/>
    <w:rsid w:val="00515C28"/>
    <w:rsid w:val="00517C79"/>
    <w:rsid w:val="00520BEF"/>
    <w:rsid w:val="005222C2"/>
    <w:rsid w:val="00524685"/>
    <w:rsid w:val="00526792"/>
    <w:rsid w:val="00530467"/>
    <w:rsid w:val="00531B5F"/>
    <w:rsid w:val="00534A37"/>
    <w:rsid w:val="00536665"/>
    <w:rsid w:val="005400B6"/>
    <w:rsid w:val="00542EC8"/>
    <w:rsid w:val="00543E50"/>
    <w:rsid w:val="005513E5"/>
    <w:rsid w:val="005529BD"/>
    <w:rsid w:val="0055435D"/>
    <w:rsid w:val="0055492E"/>
    <w:rsid w:val="00556438"/>
    <w:rsid w:val="00557204"/>
    <w:rsid w:val="00557C4C"/>
    <w:rsid w:val="005603A8"/>
    <w:rsid w:val="005615D8"/>
    <w:rsid w:val="00570DF2"/>
    <w:rsid w:val="005745BE"/>
    <w:rsid w:val="00574B2A"/>
    <w:rsid w:val="0057742D"/>
    <w:rsid w:val="0058578E"/>
    <w:rsid w:val="00587D11"/>
    <w:rsid w:val="00590EA2"/>
    <w:rsid w:val="00593578"/>
    <w:rsid w:val="005951A2"/>
    <w:rsid w:val="00595487"/>
    <w:rsid w:val="00596A89"/>
    <w:rsid w:val="005A1383"/>
    <w:rsid w:val="005A2FF0"/>
    <w:rsid w:val="005A7D6B"/>
    <w:rsid w:val="005B59D1"/>
    <w:rsid w:val="005D1319"/>
    <w:rsid w:val="005D1A3E"/>
    <w:rsid w:val="005D3521"/>
    <w:rsid w:val="005D67DE"/>
    <w:rsid w:val="005D79A2"/>
    <w:rsid w:val="005E0741"/>
    <w:rsid w:val="005E2D24"/>
    <w:rsid w:val="005E5476"/>
    <w:rsid w:val="005E5683"/>
    <w:rsid w:val="005E5F54"/>
    <w:rsid w:val="005E6CE5"/>
    <w:rsid w:val="005E743D"/>
    <w:rsid w:val="005E7509"/>
    <w:rsid w:val="005F0940"/>
    <w:rsid w:val="005F0B4C"/>
    <w:rsid w:val="005F16E3"/>
    <w:rsid w:val="005F4F9C"/>
    <w:rsid w:val="00600691"/>
    <w:rsid w:val="0060110C"/>
    <w:rsid w:val="00601EB2"/>
    <w:rsid w:val="00606248"/>
    <w:rsid w:val="00606C27"/>
    <w:rsid w:val="0060712D"/>
    <w:rsid w:val="0060721C"/>
    <w:rsid w:val="0060766E"/>
    <w:rsid w:val="00611864"/>
    <w:rsid w:val="0061277D"/>
    <w:rsid w:val="00613EE0"/>
    <w:rsid w:val="006157CE"/>
    <w:rsid w:val="00626487"/>
    <w:rsid w:val="006270B2"/>
    <w:rsid w:val="00627EDB"/>
    <w:rsid w:val="006306A8"/>
    <w:rsid w:val="00635E0B"/>
    <w:rsid w:val="00637C97"/>
    <w:rsid w:val="006406B4"/>
    <w:rsid w:val="006412EB"/>
    <w:rsid w:val="006423D6"/>
    <w:rsid w:val="00644E79"/>
    <w:rsid w:val="006525E0"/>
    <w:rsid w:val="006543BE"/>
    <w:rsid w:val="006556B2"/>
    <w:rsid w:val="00655FF9"/>
    <w:rsid w:val="00656224"/>
    <w:rsid w:val="00660163"/>
    <w:rsid w:val="00661654"/>
    <w:rsid w:val="00663616"/>
    <w:rsid w:val="0066371F"/>
    <w:rsid w:val="00667692"/>
    <w:rsid w:val="0067050B"/>
    <w:rsid w:val="00673B91"/>
    <w:rsid w:val="00675071"/>
    <w:rsid w:val="00675487"/>
    <w:rsid w:val="00680F44"/>
    <w:rsid w:val="00682CA5"/>
    <w:rsid w:val="00684CEA"/>
    <w:rsid w:val="00684F91"/>
    <w:rsid w:val="006873CF"/>
    <w:rsid w:val="006879CE"/>
    <w:rsid w:val="00693044"/>
    <w:rsid w:val="00694E78"/>
    <w:rsid w:val="00695B03"/>
    <w:rsid w:val="00697FC7"/>
    <w:rsid w:val="006A1712"/>
    <w:rsid w:val="006B3B0E"/>
    <w:rsid w:val="006B3B8D"/>
    <w:rsid w:val="006B4078"/>
    <w:rsid w:val="006B6230"/>
    <w:rsid w:val="006B7C9F"/>
    <w:rsid w:val="006D43AD"/>
    <w:rsid w:val="006D6922"/>
    <w:rsid w:val="006D6F8D"/>
    <w:rsid w:val="006D7E6B"/>
    <w:rsid w:val="006E07B4"/>
    <w:rsid w:val="006E1A9B"/>
    <w:rsid w:val="006E2D9C"/>
    <w:rsid w:val="006E4C80"/>
    <w:rsid w:val="006E7E47"/>
    <w:rsid w:val="006F4700"/>
    <w:rsid w:val="006F7344"/>
    <w:rsid w:val="007045B7"/>
    <w:rsid w:val="007050D3"/>
    <w:rsid w:val="00713602"/>
    <w:rsid w:val="007235A5"/>
    <w:rsid w:val="00730BB1"/>
    <w:rsid w:val="007320EA"/>
    <w:rsid w:val="007333FB"/>
    <w:rsid w:val="007352CE"/>
    <w:rsid w:val="00741DB9"/>
    <w:rsid w:val="00753590"/>
    <w:rsid w:val="0075564B"/>
    <w:rsid w:val="00755A89"/>
    <w:rsid w:val="00756C60"/>
    <w:rsid w:val="00757279"/>
    <w:rsid w:val="00763B0D"/>
    <w:rsid w:val="00763D2F"/>
    <w:rsid w:val="007645BF"/>
    <w:rsid w:val="00766A60"/>
    <w:rsid w:val="007711A5"/>
    <w:rsid w:val="00776F81"/>
    <w:rsid w:val="0077706C"/>
    <w:rsid w:val="0077746F"/>
    <w:rsid w:val="00780C9D"/>
    <w:rsid w:val="00780DB1"/>
    <w:rsid w:val="00784C89"/>
    <w:rsid w:val="0078585B"/>
    <w:rsid w:val="007879E0"/>
    <w:rsid w:val="00794587"/>
    <w:rsid w:val="007A71BC"/>
    <w:rsid w:val="007B18DB"/>
    <w:rsid w:val="007B5CA1"/>
    <w:rsid w:val="007C0E18"/>
    <w:rsid w:val="007C13DC"/>
    <w:rsid w:val="007C1F99"/>
    <w:rsid w:val="007D1ED5"/>
    <w:rsid w:val="007D7EA1"/>
    <w:rsid w:val="007E0D5A"/>
    <w:rsid w:val="007E1D43"/>
    <w:rsid w:val="007E3934"/>
    <w:rsid w:val="007F1747"/>
    <w:rsid w:val="007F486C"/>
    <w:rsid w:val="007F4F1B"/>
    <w:rsid w:val="007F62EE"/>
    <w:rsid w:val="007F6CE0"/>
    <w:rsid w:val="007F6DE3"/>
    <w:rsid w:val="00800335"/>
    <w:rsid w:val="00800EB5"/>
    <w:rsid w:val="00801E6E"/>
    <w:rsid w:val="00802CCB"/>
    <w:rsid w:val="008036C3"/>
    <w:rsid w:val="0080453C"/>
    <w:rsid w:val="00805A70"/>
    <w:rsid w:val="00806B29"/>
    <w:rsid w:val="008100E8"/>
    <w:rsid w:val="00810C9A"/>
    <w:rsid w:val="00815E78"/>
    <w:rsid w:val="008224F1"/>
    <w:rsid w:val="00823674"/>
    <w:rsid w:val="008315BA"/>
    <w:rsid w:val="00831BAA"/>
    <w:rsid w:val="00842B9F"/>
    <w:rsid w:val="00846365"/>
    <w:rsid w:val="00847573"/>
    <w:rsid w:val="008534B6"/>
    <w:rsid w:val="0085737E"/>
    <w:rsid w:val="00857427"/>
    <w:rsid w:val="00863922"/>
    <w:rsid w:val="00866EA2"/>
    <w:rsid w:val="00868361"/>
    <w:rsid w:val="00874B2B"/>
    <w:rsid w:val="00875B18"/>
    <w:rsid w:val="00876FE4"/>
    <w:rsid w:val="00880E18"/>
    <w:rsid w:val="008842FE"/>
    <w:rsid w:val="00886343"/>
    <w:rsid w:val="00892A14"/>
    <w:rsid w:val="008945BE"/>
    <w:rsid w:val="00895C3A"/>
    <w:rsid w:val="008A2DCD"/>
    <w:rsid w:val="008A37C2"/>
    <w:rsid w:val="008A3DF2"/>
    <w:rsid w:val="008A6C3F"/>
    <w:rsid w:val="008B10F2"/>
    <w:rsid w:val="008B3A93"/>
    <w:rsid w:val="008B619B"/>
    <w:rsid w:val="008B6B72"/>
    <w:rsid w:val="008C3281"/>
    <w:rsid w:val="008D4D64"/>
    <w:rsid w:val="008D6416"/>
    <w:rsid w:val="008D714E"/>
    <w:rsid w:val="008E5E50"/>
    <w:rsid w:val="008F1034"/>
    <w:rsid w:val="008F20A7"/>
    <w:rsid w:val="008F409A"/>
    <w:rsid w:val="008F47A3"/>
    <w:rsid w:val="008F6B8E"/>
    <w:rsid w:val="008F73BB"/>
    <w:rsid w:val="008F73F3"/>
    <w:rsid w:val="00901D43"/>
    <w:rsid w:val="0090275A"/>
    <w:rsid w:val="00906E55"/>
    <w:rsid w:val="00906EAC"/>
    <w:rsid w:val="00910EE6"/>
    <w:rsid w:val="00914DB0"/>
    <w:rsid w:val="00914F5B"/>
    <w:rsid w:val="0092002D"/>
    <w:rsid w:val="00930EC4"/>
    <w:rsid w:val="0093341D"/>
    <w:rsid w:val="00942123"/>
    <w:rsid w:val="009432B3"/>
    <w:rsid w:val="00945A37"/>
    <w:rsid w:val="00951056"/>
    <w:rsid w:val="00963757"/>
    <w:rsid w:val="0096380A"/>
    <w:rsid w:val="00967DA9"/>
    <w:rsid w:val="00973C74"/>
    <w:rsid w:val="009747FD"/>
    <w:rsid w:val="0097661D"/>
    <w:rsid w:val="009767ED"/>
    <w:rsid w:val="0097779D"/>
    <w:rsid w:val="00977990"/>
    <w:rsid w:val="0098504F"/>
    <w:rsid w:val="00985F91"/>
    <w:rsid w:val="009911C7"/>
    <w:rsid w:val="00991776"/>
    <w:rsid w:val="00992473"/>
    <w:rsid w:val="00992660"/>
    <w:rsid w:val="00992EE2"/>
    <w:rsid w:val="00994749"/>
    <w:rsid w:val="00996E3C"/>
    <w:rsid w:val="009A4AAC"/>
    <w:rsid w:val="009A7493"/>
    <w:rsid w:val="009A778B"/>
    <w:rsid w:val="009A7F43"/>
    <w:rsid w:val="009B12C3"/>
    <w:rsid w:val="009B2556"/>
    <w:rsid w:val="009B7CA1"/>
    <w:rsid w:val="009C24E5"/>
    <w:rsid w:val="009C2EFD"/>
    <w:rsid w:val="009C30FE"/>
    <w:rsid w:val="009C52ED"/>
    <w:rsid w:val="009C62E6"/>
    <w:rsid w:val="009D1A96"/>
    <w:rsid w:val="009D20AA"/>
    <w:rsid w:val="009D28CE"/>
    <w:rsid w:val="009D5061"/>
    <w:rsid w:val="009D556B"/>
    <w:rsid w:val="009D5D9B"/>
    <w:rsid w:val="009E0DA0"/>
    <w:rsid w:val="009E1278"/>
    <w:rsid w:val="009E24D4"/>
    <w:rsid w:val="009E2FCC"/>
    <w:rsid w:val="009E333C"/>
    <w:rsid w:val="009E3921"/>
    <w:rsid w:val="009E3B4B"/>
    <w:rsid w:val="009E7BC1"/>
    <w:rsid w:val="009F1B63"/>
    <w:rsid w:val="009F431C"/>
    <w:rsid w:val="009F4A0F"/>
    <w:rsid w:val="009F7BA5"/>
    <w:rsid w:val="00A00A29"/>
    <w:rsid w:val="00A066CB"/>
    <w:rsid w:val="00A07D3F"/>
    <w:rsid w:val="00A11D96"/>
    <w:rsid w:val="00A1581C"/>
    <w:rsid w:val="00A16520"/>
    <w:rsid w:val="00A16700"/>
    <w:rsid w:val="00A17FCC"/>
    <w:rsid w:val="00A22B42"/>
    <w:rsid w:val="00A30267"/>
    <w:rsid w:val="00A30FAD"/>
    <w:rsid w:val="00A336F6"/>
    <w:rsid w:val="00A4255F"/>
    <w:rsid w:val="00A45365"/>
    <w:rsid w:val="00A45505"/>
    <w:rsid w:val="00A4716A"/>
    <w:rsid w:val="00A501DA"/>
    <w:rsid w:val="00A5335A"/>
    <w:rsid w:val="00A56EB7"/>
    <w:rsid w:val="00A62280"/>
    <w:rsid w:val="00A63DD7"/>
    <w:rsid w:val="00A6614C"/>
    <w:rsid w:val="00A66A3E"/>
    <w:rsid w:val="00A71591"/>
    <w:rsid w:val="00A82047"/>
    <w:rsid w:val="00A84BF2"/>
    <w:rsid w:val="00A91DE0"/>
    <w:rsid w:val="00A9348B"/>
    <w:rsid w:val="00A956F8"/>
    <w:rsid w:val="00A97E82"/>
    <w:rsid w:val="00AA2546"/>
    <w:rsid w:val="00AA329A"/>
    <w:rsid w:val="00AA4110"/>
    <w:rsid w:val="00AB18E4"/>
    <w:rsid w:val="00AB5613"/>
    <w:rsid w:val="00AD147E"/>
    <w:rsid w:val="00AD6831"/>
    <w:rsid w:val="00AD68AF"/>
    <w:rsid w:val="00AD6D56"/>
    <w:rsid w:val="00AD7D22"/>
    <w:rsid w:val="00AE0FD7"/>
    <w:rsid w:val="00AF376C"/>
    <w:rsid w:val="00AF56A6"/>
    <w:rsid w:val="00AF5A16"/>
    <w:rsid w:val="00B04204"/>
    <w:rsid w:val="00B10AB4"/>
    <w:rsid w:val="00B146FD"/>
    <w:rsid w:val="00B1690B"/>
    <w:rsid w:val="00B17C53"/>
    <w:rsid w:val="00B34128"/>
    <w:rsid w:val="00B341DE"/>
    <w:rsid w:val="00B45221"/>
    <w:rsid w:val="00B453F3"/>
    <w:rsid w:val="00B45A9F"/>
    <w:rsid w:val="00B474D2"/>
    <w:rsid w:val="00B5084B"/>
    <w:rsid w:val="00B5314C"/>
    <w:rsid w:val="00B53184"/>
    <w:rsid w:val="00B53BA0"/>
    <w:rsid w:val="00B57438"/>
    <w:rsid w:val="00B602E7"/>
    <w:rsid w:val="00B60DAE"/>
    <w:rsid w:val="00B636F8"/>
    <w:rsid w:val="00B6788C"/>
    <w:rsid w:val="00B70A30"/>
    <w:rsid w:val="00B739BE"/>
    <w:rsid w:val="00B74551"/>
    <w:rsid w:val="00B74D1D"/>
    <w:rsid w:val="00B755FE"/>
    <w:rsid w:val="00B770E8"/>
    <w:rsid w:val="00B779A7"/>
    <w:rsid w:val="00B8498E"/>
    <w:rsid w:val="00B9525C"/>
    <w:rsid w:val="00B97CB5"/>
    <w:rsid w:val="00BA0F97"/>
    <w:rsid w:val="00BA2140"/>
    <w:rsid w:val="00BA56C3"/>
    <w:rsid w:val="00BB0E68"/>
    <w:rsid w:val="00BB10F5"/>
    <w:rsid w:val="00BB46DA"/>
    <w:rsid w:val="00BB5FE8"/>
    <w:rsid w:val="00BC13FD"/>
    <w:rsid w:val="00BC350C"/>
    <w:rsid w:val="00BC627E"/>
    <w:rsid w:val="00BD071C"/>
    <w:rsid w:val="00BD266D"/>
    <w:rsid w:val="00BE06FB"/>
    <w:rsid w:val="00BE15C3"/>
    <w:rsid w:val="00BE7113"/>
    <w:rsid w:val="00BE773C"/>
    <w:rsid w:val="00BF0031"/>
    <w:rsid w:val="00BF17D8"/>
    <w:rsid w:val="00BF1A12"/>
    <w:rsid w:val="00BF281B"/>
    <w:rsid w:val="00C01DA2"/>
    <w:rsid w:val="00C0786A"/>
    <w:rsid w:val="00C12999"/>
    <w:rsid w:val="00C13293"/>
    <w:rsid w:val="00C13D6C"/>
    <w:rsid w:val="00C15324"/>
    <w:rsid w:val="00C170CA"/>
    <w:rsid w:val="00C205A4"/>
    <w:rsid w:val="00C2262D"/>
    <w:rsid w:val="00C23D4A"/>
    <w:rsid w:val="00C30FEA"/>
    <w:rsid w:val="00C31B7C"/>
    <w:rsid w:val="00C31BB4"/>
    <w:rsid w:val="00C3577A"/>
    <w:rsid w:val="00C4427E"/>
    <w:rsid w:val="00C45C9D"/>
    <w:rsid w:val="00C46137"/>
    <w:rsid w:val="00C47876"/>
    <w:rsid w:val="00C54F59"/>
    <w:rsid w:val="00C55EA7"/>
    <w:rsid w:val="00C56D43"/>
    <w:rsid w:val="00C61988"/>
    <w:rsid w:val="00C6247A"/>
    <w:rsid w:val="00C644F6"/>
    <w:rsid w:val="00C67BEC"/>
    <w:rsid w:val="00C725EA"/>
    <w:rsid w:val="00C74BF7"/>
    <w:rsid w:val="00C7734E"/>
    <w:rsid w:val="00C77908"/>
    <w:rsid w:val="00C82655"/>
    <w:rsid w:val="00C83F0C"/>
    <w:rsid w:val="00C859AA"/>
    <w:rsid w:val="00C97516"/>
    <w:rsid w:val="00CA13D7"/>
    <w:rsid w:val="00CA1CD6"/>
    <w:rsid w:val="00CA32D7"/>
    <w:rsid w:val="00CA74B8"/>
    <w:rsid w:val="00CC195A"/>
    <w:rsid w:val="00CD069A"/>
    <w:rsid w:val="00CD0844"/>
    <w:rsid w:val="00CD2E1F"/>
    <w:rsid w:val="00CD3875"/>
    <w:rsid w:val="00CE0175"/>
    <w:rsid w:val="00CE0899"/>
    <w:rsid w:val="00CE19FC"/>
    <w:rsid w:val="00CE6BB7"/>
    <w:rsid w:val="00CF09BA"/>
    <w:rsid w:val="00CF206F"/>
    <w:rsid w:val="00CF230C"/>
    <w:rsid w:val="00CF4829"/>
    <w:rsid w:val="00D02703"/>
    <w:rsid w:val="00D060CB"/>
    <w:rsid w:val="00D06FBD"/>
    <w:rsid w:val="00D134E5"/>
    <w:rsid w:val="00D1549D"/>
    <w:rsid w:val="00D1599C"/>
    <w:rsid w:val="00D2063A"/>
    <w:rsid w:val="00D216D0"/>
    <w:rsid w:val="00D31D0D"/>
    <w:rsid w:val="00D335BB"/>
    <w:rsid w:val="00D346FA"/>
    <w:rsid w:val="00D3678F"/>
    <w:rsid w:val="00D40FA6"/>
    <w:rsid w:val="00D4644F"/>
    <w:rsid w:val="00D469FC"/>
    <w:rsid w:val="00D46D29"/>
    <w:rsid w:val="00D51153"/>
    <w:rsid w:val="00D5186D"/>
    <w:rsid w:val="00D5249B"/>
    <w:rsid w:val="00D54ED7"/>
    <w:rsid w:val="00D57055"/>
    <w:rsid w:val="00D5EA68"/>
    <w:rsid w:val="00D63F40"/>
    <w:rsid w:val="00D64F3A"/>
    <w:rsid w:val="00D65274"/>
    <w:rsid w:val="00D738EA"/>
    <w:rsid w:val="00D77B0B"/>
    <w:rsid w:val="00D837C6"/>
    <w:rsid w:val="00D859CA"/>
    <w:rsid w:val="00D92CCE"/>
    <w:rsid w:val="00DA09F1"/>
    <w:rsid w:val="00DA1608"/>
    <w:rsid w:val="00DA2E0E"/>
    <w:rsid w:val="00DA331A"/>
    <w:rsid w:val="00DA40B6"/>
    <w:rsid w:val="00DA7678"/>
    <w:rsid w:val="00DA76D2"/>
    <w:rsid w:val="00DB6AB2"/>
    <w:rsid w:val="00DC00B4"/>
    <w:rsid w:val="00DC3E67"/>
    <w:rsid w:val="00DC535B"/>
    <w:rsid w:val="00DC54B3"/>
    <w:rsid w:val="00DC596B"/>
    <w:rsid w:val="00DC78F1"/>
    <w:rsid w:val="00DD111F"/>
    <w:rsid w:val="00DD20EE"/>
    <w:rsid w:val="00DD391D"/>
    <w:rsid w:val="00DD3FB3"/>
    <w:rsid w:val="00DD4A51"/>
    <w:rsid w:val="00DD51CF"/>
    <w:rsid w:val="00DD5920"/>
    <w:rsid w:val="00DD5FAF"/>
    <w:rsid w:val="00DD7DEC"/>
    <w:rsid w:val="00DE168E"/>
    <w:rsid w:val="00DE1DF1"/>
    <w:rsid w:val="00DE3931"/>
    <w:rsid w:val="00DE42F0"/>
    <w:rsid w:val="00DE4786"/>
    <w:rsid w:val="00DE746B"/>
    <w:rsid w:val="00DF33CD"/>
    <w:rsid w:val="00DF469C"/>
    <w:rsid w:val="00E006A7"/>
    <w:rsid w:val="00E0120C"/>
    <w:rsid w:val="00E04209"/>
    <w:rsid w:val="00E118BD"/>
    <w:rsid w:val="00E12559"/>
    <w:rsid w:val="00E22A4C"/>
    <w:rsid w:val="00E268BB"/>
    <w:rsid w:val="00E30B01"/>
    <w:rsid w:val="00E30E75"/>
    <w:rsid w:val="00E312A7"/>
    <w:rsid w:val="00E34C44"/>
    <w:rsid w:val="00E35458"/>
    <w:rsid w:val="00E35E5A"/>
    <w:rsid w:val="00E35F35"/>
    <w:rsid w:val="00E3625A"/>
    <w:rsid w:val="00E40D0B"/>
    <w:rsid w:val="00E40F05"/>
    <w:rsid w:val="00E436E3"/>
    <w:rsid w:val="00E44781"/>
    <w:rsid w:val="00E50DEE"/>
    <w:rsid w:val="00E52FC0"/>
    <w:rsid w:val="00E53108"/>
    <w:rsid w:val="00E556A5"/>
    <w:rsid w:val="00E56280"/>
    <w:rsid w:val="00E56A76"/>
    <w:rsid w:val="00E60360"/>
    <w:rsid w:val="00E608F8"/>
    <w:rsid w:val="00E65F61"/>
    <w:rsid w:val="00E709F9"/>
    <w:rsid w:val="00E722E8"/>
    <w:rsid w:val="00E731FA"/>
    <w:rsid w:val="00E738B1"/>
    <w:rsid w:val="00E81FFE"/>
    <w:rsid w:val="00E84A4C"/>
    <w:rsid w:val="00E92208"/>
    <w:rsid w:val="00E923C7"/>
    <w:rsid w:val="00E9244C"/>
    <w:rsid w:val="00E936BD"/>
    <w:rsid w:val="00E94734"/>
    <w:rsid w:val="00EA023B"/>
    <w:rsid w:val="00EA2595"/>
    <w:rsid w:val="00EA5C0B"/>
    <w:rsid w:val="00EA750F"/>
    <w:rsid w:val="00EB02F3"/>
    <w:rsid w:val="00EB08E8"/>
    <w:rsid w:val="00EC288D"/>
    <w:rsid w:val="00EC6EB2"/>
    <w:rsid w:val="00ED1FAE"/>
    <w:rsid w:val="00ED2BC9"/>
    <w:rsid w:val="00ED73AF"/>
    <w:rsid w:val="00EE09BC"/>
    <w:rsid w:val="00EE1846"/>
    <w:rsid w:val="00EE3148"/>
    <w:rsid w:val="00EE4D62"/>
    <w:rsid w:val="00EF060B"/>
    <w:rsid w:val="00EF5672"/>
    <w:rsid w:val="00EF5920"/>
    <w:rsid w:val="00F010DD"/>
    <w:rsid w:val="00F01105"/>
    <w:rsid w:val="00F01A35"/>
    <w:rsid w:val="00F02B55"/>
    <w:rsid w:val="00F058A4"/>
    <w:rsid w:val="00F07C9B"/>
    <w:rsid w:val="00F117FC"/>
    <w:rsid w:val="00F12564"/>
    <w:rsid w:val="00F15B23"/>
    <w:rsid w:val="00F16F06"/>
    <w:rsid w:val="00F242F4"/>
    <w:rsid w:val="00F25157"/>
    <w:rsid w:val="00F27216"/>
    <w:rsid w:val="00F3258C"/>
    <w:rsid w:val="00F3277E"/>
    <w:rsid w:val="00F36380"/>
    <w:rsid w:val="00F36CA3"/>
    <w:rsid w:val="00F4061E"/>
    <w:rsid w:val="00F40ABE"/>
    <w:rsid w:val="00F411C6"/>
    <w:rsid w:val="00F43780"/>
    <w:rsid w:val="00F47C6E"/>
    <w:rsid w:val="00F51C0E"/>
    <w:rsid w:val="00F52BA4"/>
    <w:rsid w:val="00F5341A"/>
    <w:rsid w:val="00F562A6"/>
    <w:rsid w:val="00F574E8"/>
    <w:rsid w:val="00F60DAB"/>
    <w:rsid w:val="00F6125E"/>
    <w:rsid w:val="00F6180A"/>
    <w:rsid w:val="00F618DC"/>
    <w:rsid w:val="00F64388"/>
    <w:rsid w:val="00F649DF"/>
    <w:rsid w:val="00F64F00"/>
    <w:rsid w:val="00F6594E"/>
    <w:rsid w:val="00F71DEA"/>
    <w:rsid w:val="00F77FF0"/>
    <w:rsid w:val="00F81148"/>
    <w:rsid w:val="00F85485"/>
    <w:rsid w:val="00F911FF"/>
    <w:rsid w:val="00F918FE"/>
    <w:rsid w:val="00F9264C"/>
    <w:rsid w:val="00F93AA4"/>
    <w:rsid w:val="00FA4654"/>
    <w:rsid w:val="00FA5DF6"/>
    <w:rsid w:val="00FB1888"/>
    <w:rsid w:val="00FB235B"/>
    <w:rsid w:val="00FB4BB6"/>
    <w:rsid w:val="00FB4E10"/>
    <w:rsid w:val="00FC062D"/>
    <w:rsid w:val="00FC0BE2"/>
    <w:rsid w:val="00FC2B52"/>
    <w:rsid w:val="00FC2C8E"/>
    <w:rsid w:val="00FC4076"/>
    <w:rsid w:val="00FC434F"/>
    <w:rsid w:val="00FC4C6F"/>
    <w:rsid w:val="00FC5D86"/>
    <w:rsid w:val="00FD286D"/>
    <w:rsid w:val="00FD4D43"/>
    <w:rsid w:val="00FD53F8"/>
    <w:rsid w:val="00FD5F93"/>
    <w:rsid w:val="00FD6EA9"/>
    <w:rsid w:val="00FD7434"/>
    <w:rsid w:val="00FE5814"/>
    <w:rsid w:val="00FE76EF"/>
    <w:rsid w:val="00FF0CB9"/>
    <w:rsid w:val="00FF1494"/>
    <w:rsid w:val="00FF6B4D"/>
    <w:rsid w:val="010195AB"/>
    <w:rsid w:val="010F143D"/>
    <w:rsid w:val="0128A39C"/>
    <w:rsid w:val="01303257"/>
    <w:rsid w:val="0153DCBF"/>
    <w:rsid w:val="016FEBC6"/>
    <w:rsid w:val="01AB29BA"/>
    <w:rsid w:val="01D4FEBC"/>
    <w:rsid w:val="01DEB16B"/>
    <w:rsid w:val="01F31E31"/>
    <w:rsid w:val="01F8B985"/>
    <w:rsid w:val="01FD3810"/>
    <w:rsid w:val="021CEDB8"/>
    <w:rsid w:val="0228AB96"/>
    <w:rsid w:val="023ADFB7"/>
    <w:rsid w:val="0269B67A"/>
    <w:rsid w:val="026E31D3"/>
    <w:rsid w:val="0271D229"/>
    <w:rsid w:val="02A44A21"/>
    <w:rsid w:val="02CC02B8"/>
    <w:rsid w:val="02D13EB5"/>
    <w:rsid w:val="02D55306"/>
    <w:rsid w:val="02EF2EE2"/>
    <w:rsid w:val="03099C20"/>
    <w:rsid w:val="031D427B"/>
    <w:rsid w:val="0337C345"/>
    <w:rsid w:val="03535101"/>
    <w:rsid w:val="0378BCA3"/>
    <w:rsid w:val="037E9540"/>
    <w:rsid w:val="03922F8E"/>
    <w:rsid w:val="03AD0E47"/>
    <w:rsid w:val="03C0CEC3"/>
    <w:rsid w:val="03F70131"/>
    <w:rsid w:val="0439A78E"/>
    <w:rsid w:val="0461A315"/>
    <w:rsid w:val="04881486"/>
    <w:rsid w:val="048EDAB5"/>
    <w:rsid w:val="04D5AABB"/>
    <w:rsid w:val="04DA4E0B"/>
    <w:rsid w:val="04E4654F"/>
    <w:rsid w:val="04E5D3B2"/>
    <w:rsid w:val="04FC7DFC"/>
    <w:rsid w:val="050C9F7E"/>
    <w:rsid w:val="051CDF88"/>
    <w:rsid w:val="0535EFFE"/>
    <w:rsid w:val="05467E63"/>
    <w:rsid w:val="0557A2D6"/>
    <w:rsid w:val="056E65E0"/>
    <w:rsid w:val="0579DA2D"/>
    <w:rsid w:val="0596E77A"/>
    <w:rsid w:val="05A2EC41"/>
    <w:rsid w:val="05B22D87"/>
    <w:rsid w:val="05C4B76C"/>
    <w:rsid w:val="05E4E9B8"/>
    <w:rsid w:val="05E560AA"/>
    <w:rsid w:val="05EB7DBA"/>
    <w:rsid w:val="061DEB84"/>
    <w:rsid w:val="06311DF2"/>
    <w:rsid w:val="0631F37A"/>
    <w:rsid w:val="0637A4D9"/>
    <w:rsid w:val="0660D988"/>
    <w:rsid w:val="069FA078"/>
    <w:rsid w:val="06B05D65"/>
    <w:rsid w:val="06C18AAD"/>
    <w:rsid w:val="06C88B1C"/>
    <w:rsid w:val="06D4117E"/>
    <w:rsid w:val="06E8240C"/>
    <w:rsid w:val="06FDE081"/>
    <w:rsid w:val="07060A46"/>
    <w:rsid w:val="0709F0B5"/>
    <w:rsid w:val="070C9EB9"/>
    <w:rsid w:val="07199E7F"/>
    <w:rsid w:val="071C3EA2"/>
    <w:rsid w:val="072C7F9B"/>
    <w:rsid w:val="074343AE"/>
    <w:rsid w:val="0777BB44"/>
    <w:rsid w:val="07A07678"/>
    <w:rsid w:val="07B84B15"/>
    <w:rsid w:val="07C62047"/>
    <w:rsid w:val="07FB8921"/>
    <w:rsid w:val="0807D8E7"/>
    <w:rsid w:val="080E5231"/>
    <w:rsid w:val="0821673D"/>
    <w:rsid w:val="0840ACC3"/>
    <w:rsid w:val="086A11DE"/>
    <w:rsid w:val="08996280"/>
    <w:rsid w:val="08DAA205"/>
    <w:rsid w:val="08FB1BE2"/>
    <w:rsid w:val="09119B46"/>
    <w:rsid w:val="0911AA27"/>
    <w:rsid w:val="0920E257"/>
    <w:rsid w:val="0958B28B"/>
    <w:rsid w:val="0967AD12"/>
    <w:rsid w:val="0969943C"/>
    <w:rsid w:val="097489D0"/>
    <w:rsid w:val="0978E1E9"/>
    <w:rsid w:val="098518D3"/>
    <w:rsid w:val="09C228F8"/>
    <w:rsid w:val="09C3B86F"/>
    <w:rsid w:val="09FA853D"/>
    <w:rsid w:val="0A05E23F"/>
    <w:rsid w:val="0A0BB8F0"/>
    <w:rsid w:val="0A1CEB4C"/>
    <w:rsid w:val="0A248810"/>
    <w:rsid w:val="0A3B9E22"/>
    <w:rsid w:val="0A561DBD"/>
    <w:rsid w:val="0A694137"/>
    <w:rsid w:val="0A7B44EF"/>
    <w:rsid w:val="0A7C2C3B"/>
    <w:rsid w:val="0AB88F6B"/>
    <w:rsid w:val="0ABA5293"/>
    <w:rsid w:val="0ABE43F1"/>
    <w:rsid w:val="0AD5142F"/>
    <w:rsid w:val="0AE57FEA"/>
    <w:rsid w:val="0B05649D"/>
    <w:rsid w:val="0B213176"/>
    <w:rsid w:val="0B3AC294"/>
    <w:rsid w:val="0B488851"/>
    <w:rsid w:val="0B54FC81"/>
    <w:rsid w:val="0B72BBE5"/>
    <w:rsid w:val="0B72FC08"/>
    <w:rsid w:val="0BAF65C0"/>
    <w:rsid w:val="0BB6657F"/>
    <w:rsid w:val="0BC7C4EC"/>
    <w:rsid w:val="0BC7D0E3"/>
    <w:rsid w:val="0BF400BD"/>
    <w:rsid w:val="0BF853A5"/>
    <w:rsid w:val="0C0C006C"/>
    <w:rsid w:val="0C4846C2"/>
    <w:rsid w:val="0C5386AC"/>
    <w:rsid w:val="0C70440A"/>
    <w:rsid w:val="0C7C354C"/>
    <w:rsid w:val="0C9B7D0B"/>
    <w:rsid w:val="0CB1C1C8"/>
    <w:rsid w:val="0CBAD2AB"/>
    <w:rsid w:val="0D045C26"/>
    <w:rsid w:val="0D083651"/>
    <w:rsid w:val="0D09FBE2"/>
    <w:rsid w:val="0D0E4F8C"/>
    <w:rsid w:val="0D0F8CB9"/>
    <w:rsid w:val="0D26E5CD"/>
    <w:rsid w:val="0D308F32"/>
    <w:rsid w:val="0D7F1FD4"/>
    <w:rsid w:val="0DBB1551"/>
    <w:rsid w:val="0DD88E71"/>
    <w:rsid w:val="0DE60268"/>
    <w:rsid w:val="0DECB56B"/>
    <w:rsid w:val="0DEF97B9"/>
    <w:rsid w:val="0E0FB7FC"/>
    <w:rsid w:val="0E1D70CA"/>
    <w:rsid w:val="0E34AC4A"/>
    <w:rsid w:val="0E364AE3"/>
    <w:rsid w:val="0E42A54F"/>
    <w:rsid w:val="0E60866F"/>
    <w:rsid w:val="0E671553"/>
    <w:rsid w:val="0E7BD327"/>
    <w:rsid w:val="0E94CCCD"/>
    <w:rsid w:val="0EBEBD75"/>
    <w:rsid w:val="0ED0BF10"/>
    <w:rsid w:val="0F228588"/>
    <w:rsid w:val="0F915D63"/>
    <w:rsid w:val="0FD04E9C"/>
    <w:rsid w:val="0FD52562"/>
    <w:rsid w:val="0FD5E6F8"/>
    <w:rsid w:val="0FE9628A"/>
    <w:rsid w:val="0FF2736D"/>
    <w:rsid w:val="0FFA3341"/>
    <w:rsid w:val="100F5CF8"/>
    <w:rsid w:val="1015E726"/>
    <w:rsid w:val="1043EA6E"/>
    <w:rsid w:val="10573FAB"/>
    <w:rsid w:val="10588302"/>
    <w:rsid w:val="105D67BF"/>
    <w:rsid w:val="106109BF"/>
    <w:rsid w:val="1061813F"/>
    <w:rsid w:val="10666D20"/>
    <w:rsid w:val="106AE016"/>
    <w:rsid w:val="107A7F0A"/>
    <w:rsid w:val="107AFA74"/>
    <w:rsid w:val="108381B0"/>
    <w:rsid w:val="108CB649"/>
    <w:rsid w:val="109670F9"/>
    <w:rsid w:val="10BE4215"/>
    <w:rsid w:val="11260303"/>
    <w:rsid w:val="112B5BD0"/>
    <w:rsid w:val="114FEC5A"/>
    <w:rsid w:val="1166D04D"/>
    <w:rsid w:val="11740179"/>
    <w:rsid w:val="1185DA10"/>
    <w:rsid w:val="1191BD95"/>
    <w:rsid w:val="119E676E"/>
    <w:rsid w:val="11B1EF69"/>
    <w:rsid w:val="11BE6EF6"/>
    <w:rsid w:val="11CB8D7D"/>
    <w:rsid w:val="11DE39B1"/>
    <w:rsid w:val="11EB8A30"/>
    <w:rsid w:val="11F72AD3"/>
    <w:rsid w:val="11FAB246"/>
    <w:rsid w:val="11FD16D4"/>
    <w:rsid w:val="120343B1"/>
    <w:rsid w:val="120FEC39"/>
    <w:rsid w:val="122DD2FF"/>
    <w:rsid w:val="1265F9D1"/>
    <w:rsid w:val="12679529"/>
    <w:rsid w:val="12AFC124"/>
    <w:rsid w:val="12B23CFD"/>
    <w:rsid w:val="12BA1D10"/>
    <w:rsid w:val="12C467E9"/>
    <w:rsid w:val="12C605EC"/>
    <w:rsid w:val="12C991ED"/>
    <w:rsid w:val="12D63E14"/>
    <w:rsid w:val="12EA1EB7"/>
    <w:rsid w:val="12EB76D0"/>
    <w:rsid w:val="1307C35E"/>
    <w:rsid w:val="13080489"/>
    <w:rsid w:val="13185E15"/>
    <w:rsid w:val="131E09D4"/>
    <w:rsid w:val="1325F65C"/>
    <w:rsid w:val="13427044"/>
    <w:rsid w:val="134AABE4"/>
    <w:rsid w:val="135EDC16"/>
    <w:rsid w:val="1372203E"/>
    <w:rsid w:val="13794DFD"/>
    <w:rsid w:val="13860D38"/>
    <w:rsid w:val="13B29DF0"/>
    <w:rsid w:val="13C61166"/>
    <w:rsid w:val="13DF2AB7"/>
    <w:rsid w:val="13ED1939"/>
    <w:rsid w:val="13EF9F1D"/>
    <w:rsid w:val="142F9FB4"/>
    <w:rsid w:val="14486C2C"/>
    <w:rsid w:val="144C5CA8"/>
    <w:rsid w:val="14562E1D"/>
    <w:rsid w:val="1461EBF1"/>
    <w:rsid w:val="1464D75F"/>
    <w:rsid w:val="146D8515"/>
    <w:rsid w:val="147AB5DA"/>
    <w:rsid w:val="147B4D80"/>
    <w:rsid w:val="14877BCB"/>
    <w:rsid w:val="14E50E4D"/>
    <w:rsid w:val="154DC4F3"/>
    <w:rsid w:val="154E6B97"/>
    <w:rsid w:val="155159D9"/>
    <w:rsid w:val="15B0E4EF"/>
    <w:rsid w:val="15C7843B"/>
    <w:rsid w:val="15E43C8D"/>
    <w:rsid w:val="15FE5EA8"/>
    <w:rsid w:val="1620F1EE"/>
    <w:rsid w:val="16573765"/>
    <w:rsid w:val="167214D6"/>
    <w:rsid w:val="16815087"/>
    <w:rsid w:val="1691E019"/>
    <w:rsid w:val="16B229C2"/>
    <w:rsid w:val="16BF4607"/>
    <w:rsid w:val="16E006FE"/>
    <w:rsid w:val="17A7B6EC"/>
    <w:rsid w:val="17B17982"/>
    <w:rsid w:val="17DF7B16"/>
    <w:rsid w:val="1820C6FC"/>
    <w:rsid w:val="1824E37B"/>
    <w:rsid w:val="184F5147"/>
    <w:rsid w:val="185BD1A5"/>
    <w:rsid w:val="186879A4"/>
    <w:rsid w:val="186C1BA4"/>
    <w:rsid w:val="1872919A"/>
    <w:rsid w:val="18770650"/>
    <w:rsid w:val="187709DE"/>
    <w:rsid w:val="1886A667"/>
    <w:rsid w:val="188B2F75"/>
    <w:rsid w:val="18CB8DE8"/>
    <w:rsid w:val="18D5A142"/>
    <w:rsid w:val="190A3A2C"/>
    <w:rsid w:val="1953AC7D"/>
    <w:rsid w:val="1984FE46"/>
    <w:rsid w:val="19C1BA98"/>
    <w:rsid w:val="19C9DA9C"/>
    <w:rsid w:val="19EB21A8"/>
    <w:rsid w:val="1A10B846"/>
    <w:rsid w:val="1A256207"/>
    <w:rsid w:val="1A43D25B"/>
    <w:rsid w:val="1A4F2EC6"/>
    <w:rsid w:val="1A611E8D"/>
    <w:rsid w:val="1A6EC034"/>
    <w:rsid w:val="1A9E8553"/>
    <w:rsid w:val="1AB7E6F9"/>
    <w:rsid w:val="1AD5F08E"/>
    <w:rsid w:val="1B20CEA7"/>
    <w:rsid w:val="1B238041"/>
    <w:rsid w:val="1B34AE6C"/>
    <w:rsid w:val="1B7C54AF"/>
    <w:rsid w:val="1B7F925E"/>
    <w:rsid w:val="1B98AF33"/>
    <w:rsid w:val="1BA3BC66"/>
    <w:rsid w:val="1BBE4589"/>
    <w:rsid w:val="1BE6F880"/>
    <w:rsid w:val="1BFBB8B4"/>
    <w:rsid w:val="1BFE60DF"/>
    <w:rsid w:val="1BFFA5F3"/>
    <w:rsid w:val="1C1C1384"/>
    <w:rsid w:val="1C303809"/>
    <w:rsid w:val="1C3CA2EB"/>
    <w:rsid w:val="1C60EA79"/>
    <w:rsid w:val="1C84FE2D"/>
    <w:rsid w:val="1C86988B"/>
    <w:rsid w:val="1C898500"/>
    <w:rsid w:val="1C95FA38"/>
    <w:rsid w:val="1CF8B42D"/>
    <w:rsid w:val="1D07ABE6"/>
    <w:rsid w:val="1D1F4228"/>
    <w:rsid w:val="1D2D7A90"/>
    <w:rsid w:val="1D428544"/>
    <w:rsid w:val="1D82C8E1"/>
    <w:rsid w:val="1DB2AEAF"/>
    <w:rsid w:val="1DD8734C"/>
    <w:rsid w:val="1DDC3918"/>
    <w:rsid w:val="1DE3BAFD"/>
    <w:rsid w:val="1E105D49"/>
    <w:rsid w:val="1E6130E6"/>
    <w:rsid w:val="1E6A1189"/>
    <w:rsid w:val="1E8FB7F2"/>
    <w:rsid w:val="1EA15FDE"/>
    <w:rsid w:val="1EBAB07E"/>
    <w:rsid w:val="1EBFF2DF"/>
    <w:rsid w:val="1EC630DA"/>
    <w:rsid w:val="1ED5542C"/>
    <w:rsid w:val="1EE7FFB0"/>
    <w:rsid w:val="1F0DFC65"/>
    <w:rsid w:val="1F1E9942"/>
    <w:rsid w:val="1F355D20"/>
    <w:rsid w:val="1F3C7A73"/>
    <w:rsid w:val="1F4386A4"/>
    <w:rsid w:val="1F49F79A"/>
    <w:rsid w:val="1F81217E"/>
    <w:rsid w:val="1F88AA73"/>
    <w:rsid w:val="1FA8217E"/>
    <w:rsid w:val="1FEF1BFB"/>
    <w:rsid w:val="2013EDE5"/>
    <w:rsid w:val="201C967C"/>
    <w:rsid w:val="2023C6DA"/>
    <w:rsid w:val="2030FC1C"/>
    <w:rsid w:val="203E8D85"/>
    <w:rsid w:val="20467AF2"/>
    <w:rsid w:val="20540F34"/>
    <w:rsid w:val="2055A2B8"/>
    <w:rsid w:val="20595D1E"/>
    <w:rsid w:val="208056FD"/>
    <w:rsid w:val="20821BC3"/>
    <w:rsid w:val="20AC2B66"/>
    <w:rsid w:val="20B769B8"/>
    <w:rsid w:val="20CB6F22"/>
    <w:rsid w:val="20D9DBAC"/>
    <w:rsid w:val="20DF63D0"/>
    <w:rsid w:val="2101ED8E"/>
    <w:rsid w:val="210DB780"/>
    <w:rsid w:val="21176683"/>
    <w:rsid w:val="211A9E97"/>
    <w:rsid w:val="2143F1DF"/>
    <w:rsid w:val="2147FE0B"/>
    <w:rsid w:val="216F4F41"/>
    <w:rsid w:val="2187F420"/>
    <w:rsid w:val="21D65D48"/>
    <w:rsid w:val="21E07CFD"/>
    <w:rsid w:val="21E2D21F"/>
    <w:rsid w:val="222F2A30"/>
    <w:rsid w:val="22563A04"/>
    <w:rsid w:val="226B6398"/>
    <w:rsid w:val="226EFD83"/>
    <w:rsid w:val="228163EB"/>
    <w:rsid w:val="22A9627F"/>
    <w:rsid w:val="22ADBED0"/>
    <w:rsid w:val="22B66EF8"/>
    <w:rsid w:val="22C7C099"/>
    <w:rsid w:val="22CD3DCA"/>
    <w:rsid w:val="22DFC240"/>
    <w:rsid w:val="22F28BC8"/>
    <w:rsid w:val="2300B446"/>
    <w:rsid w:val="2304A023"/>
    <w:rsid w:val="232BBD68"/>
    <w:rsid w:val="23419B96"/>
    <w:rsid w:val="23596DB1"/>
    <w:rsid w:val="23A25AC9"/>
    <w:rsid w:val="23D0B83A"/>
    <w:rsid w:val="23D8DB31"/>
    <w:rsid w:val="23E377CC"/>
    <w:rsid w:val="23FC7A1D"/>
    <w:rsid w:val="244C7AA4"/>
    <w:rsid w:val="24687A34"/>
    <w:rsid w:val="246982CE"/>
    <w:rsid w:val="246C90C4"/>
    <w:rsid w:val="24A9DD3A"/>
    <w:rsid w:val="24AF74BC"/>
    <w:rsid w:val="24B3DE2C"/>
    <w:rsid w:val="24B453B0"/>
    <w:rsid w:val="24BA1C0A"/>
    <w:rsid w:val="24CA63F2"/>
    <w:rsid w:val="24E1A910"/>
    <w:rsid w:val="250D4C47"/>
    <w:rsid w:val="250F7FAB"/>
    <w:rsid w:val="254BF338"/>
    <w:rsid w:val="25515544"/>
    <w:rsid w:val="256B743A"/>
    <w:rsid w:val="2574B269"/>
    <w:rsid w:val="258CB413"/>
    <w:rsid w:val="25B46929"/>
    <w:rsid w:val="25D6FC8C"/>
    <w:rsid w:val="2613F3EC"/>
    <w:rsid w:val="261FB2D4"/>
    <w:rsid w:val="262BAF38"/>
    <w:rsid w:val="26871639"/>
    <w:rsid w:val="26888EA5"/>
    <w:rsid w:val="26AA6A34"/>
    <w:rsid w:val="26AD854C"/>
    <w:rsid w:val="26EC0072"/>
    <w:rsid w:val="26F7860D"/>
    <w:rsid w:val="26FAFB0A"/>
    <w:rsid w:val="2733C1E9"/>
    <w:rsid w:val="279323CF"/>
    <w:rsid w:val="27B73F8F"/>
    <w:rsid w:val="27E1C5A4"/>
    <w:rsid w:val="28026FBC"/>
    <w:rsid w:val="280F8E06"/>
    <w:rsid w:val="281BFB12"/>
    <w:rsid w:val="28504446"/>
    <w:rsid w:val="286920BF"/>
    <w:rsid w:val="28854C0C"/>
    <w:rsid w:val="28939490"/>
    <w:rsid w:val="289C9B2F"/>
    <w:rsid w:val="28A5EE87"/>
    <w:rsid w:val="28AD3545"/>
    <w:rsid w:val="28AFA653"/>
    <w:rsid w:val="28B49E7D"/>
    <w:rsid w:val="28B58D96"/>
    <w:rsid w:val="28B81487"/>
    <w:rsid w:val="290EF810"/>
    <w:rsid w:val="292EF430"/>
    <w:rsid w:val="2941B428"/>
    <w:rsid w:val="294B340E"/>
    <w:rsid w:val="2960D613"/>
    <w:rsid w:val="296A72DB"/>
    <w:rsid w:val="296D12AE"/>
    <w:rsid w:val="297F7E66"/>
    <w:rsid w:val="299AFEEC"/>
    <w:rsid w:val="29A831FA"/>
    <w:rsid w:val="29ABE314"/>
    <w:rsid w:val="29FD5DCF"/>
    <w:rsid w:val="2A074DF7"/>
    <w:rsid w:val="2A0C9BAF"/>
    <w:rsid w:val="2A25D869"/>
    <w:rsid w:val="2A28FE09"/>
    <w:rsid w:val="2A8142F4"/>
    <w:rsid w:val="2A837DB6"/>
    <w:rsid w:val="2A8FF232"/>
    <w:rsid w:val="2ABC96A3"/>
    <w:rsid w:val="2AC2FBF4"/>
    <w:rsid w:val="2ACF1098"/>
    <w:rsid w:val="2AEEE051"/>
    <w:rsid w:val="2AF530E8"/>
    <w:rsid w:val="2B11D2C2"/>
    <w:rsid w:val="2B26BB7A"/>
    <w:rsid w:val="2B992E30"/>
    <w:rsid w:val="2BB63E30"/>
    <w:rsid w:val="2BD0586B"/>
    <w:rsid w:val="2C3E84A1"/>
    <w:rsid w:val="2C560F9C"/>
    <w:rsid w:val="2C614FAE"/>
    <w:rsid w:val="2C666AFA"/>
    <w:rsid w:val="2C782953"/>
    <w:rsid w:val="2C7ED929"/>
    <w:rsid w:val="2C943226"/>
    <w:rsid w:val="2CA2139D"/>
    <w:rsid w:val="2CA3D90F"/>
    <w:rsid w:val="2CAC2B88"/>
    <w:rsid w:val="2CF1F74F"/>
    <w:rsid w:val="2D600D54"/>
    <w:rsid w:val="2D609ECB"/>
    <w:rsid w:val="2D80AE50"/>
    <w:rsid w:val="2D98FF7D"/>
    <w:rsid w:val="2DA2F9F6"/>
    <w:rsid w:val="2DDFAD27"/>
    <w:rsid w:val="2DEA73CC"/>
    <w:rsid w:val="2DF0D5A2"/>
    <w:rsid w:val="2DF827E1"/>
    <w:rsid w:val="2E1A5495"/>
    <w:rsid w:val="2E2CA927"/>
    <w:rsid w:val="2E304B27"/>
    <w:rsid w:val="2E54E30B"/>
    <w:rsid w:val="2E5AA578"/>
    <w:rsid w:val="2E72C4FE"/>
    <w:rsid w:val="2EB2364F"/>
    <w:rsid w:val="2EB5AAF0"/>
    <w:rsid w:val="2EDC8198"/>
    <w:rsid w:val="2EEDDEF2"/>
    <w:rsid w:val="2F34CFDE"/>
    <w:rsid w:val="2F3DC67C"/>
    <w:rsid w:val="2F4FD1A7"/>
    <w:rsid w:val="2F56EED9"/>
    <w:rsid w:val="2F81AA56"/>
    <w:rsid w:val="2F876005"/>
    <w:rsid w:val="2F8B7E07"/>
    <w:rsid w:val="2F8B8A6A"/>
    <w:rsid w:val="2FCCE3E0"/>
    <w:rsid w:val="2FF3E27D"/>
    <w:rsid w:val="2FF3F592"/>
    <w:rsid w:val="3003094F"/>
    <w:rsid w:val="301DFDE4"/>
    <w:rsid w:val="3033FCAE"/>
    <w:rsid w:val="303D3596"/>
    <w:rsid w:val="305FDB65"/>
    <w:rsid w:val="30688A59"/>
    <w:rsid w:val="306B8461"/>
    <w:rsid w:val="3081295F"/>
    <w:rsid w:val="308168C4"/>
    <w:rsid w:val="30983756"/>
    <w:rsid w:val="30A199B9"/>
    <w:rsid w:val="30A97D61"/>
    <w:rsid w:val="30C7F731"/>
    <w:rsid w:val="30D0EC2A"/>
    <w:rsid w:val="30E91146"/>
    <w:rsid w:val="30E9C89C"/>
    <w:rsid w:val="30F2BF3A"/>
    <w:rsid w:val="3109B176"/>
    <w:rsid w:val="3111D725"/>
    <w:rsid w:val="31131181"/>
    <w:rsid w:val="316CD1B9"/>
    <w:rsid w:val="316EF522"/>
    <w:rsid w:val="317888D0"/>
    <w:rsid w:val="318C0280"/>
    <w:rsid w:val="31E2AA67"/>
    <w:rsid w:val="31E9D711"/>
    <w:rsid w:val="31ED188A"/>
    <w:rsid w:val="3207A8C0"/>
    <w:rsid w:val="3219CB3B"/>
    <w:rsid w:val="32222BE3"/>
    <w:rsid w:val="32257FB4"/>
    <w:rsid w:val="32269FA9"/>
    <w:rsid w:val="3236A205"/>
    <w:rsid w:val="32454DC2"/>
    <w:rsid w:val="3256D35B"/>
    <w:rsid w:val="3264797D"/>
    <w:rsid w:val="3265C6DC"/>
    <w:rsid w:val="3277975F"/>
    <w:rsid w:val="327D77E7"/>
    <w:rsid w:val="328160AC"/>
    <w:rsid w:val="32A6B377"/>
    <w:rsid w:val="32A993D2"/>
    <w:rsid w:val="32B3A096"/>
    <w:rsid w:val="32C59B29"/>
    <w:rsid w:val="32C7A888"/>
    <w:rsid w:val="32CD749C"/>
    <w:rsid w:val="32CF3F21"/>
    <w:rsid w:val="32F109E3"/>
    <w:rsid w:val="3304B6AA"/>
    <w:rsid w:val="3307B859"/>
    <w:rsid w:val="330B05CF"/>
    <w:rsid w:val="330F5253"/>
    <w:rsid w:val="3317599B"/>
    <w:rsid w:val="3335E0EF"/>
    <w:rsid w:val="3345DF4E"/>
    <w:rsid w:val="3366FAC2"/>
    <w:rsid w:val="336A11C2"/>
    <w:rsid w:val="33791A3D"/>
    <w:rsid w:val="338B1E6F"/>
    <w:rsid w:val="339CA2CF"/>
    <w:rsid w:val="33A91D40"/>
    <w:rsid w:val="33BE1A4B"/>
    <w:rsid w:val="33D3B614"/>
    <w:rsid w:val="33E52047"/>
    <w:rsid w:val="3402879E"/>
    <w:rsid w:val="343796A8"/>
    <w:rsid w:val="346459A1"/>
    <w:rsid w:val="34EE04B8"/>
    <w:rsid w:val="34EE8A21"/>
    <w:rsid w:val="34F5C31E"/>
    <w:rsid w:val="3505BFE3"/>
    <w:rsid w:val="352177D3"/>
    <w:rsid w:val="3534006C"/>
    <w:rsid w:val="356C5101"/>
    <w:rsid w:val="3587FC8B"/>
    <w:rsid w:val="35A67C3B"/>
    <w:rsid w:val="35CC020B"/>
    <w:rsid w:val="35D659D4"/>
    <w:rsid w:val="35EA7B98"/>
    <w:rsid w:val="361C4BF5"/>
    <w:rsid w:val="361D305F"/>
    <w:rsid w:val="363C2564"/>
    <w:rsid w:val="3698DD6D"/>
    <w:rsid w:val="36C1123E"/>
    <w:rsid w:val="36D86BDE"/>
    <w:rsid w:val="36E1C095"/>
    <w:rsid w:val="36F3C37D"/>
    <w:rsid w:val="36F4BF9C"/>
    <w:rsid w:val="36F7F677"/>
    <w:rsid w:val="370895BC"/>
    <w:rsid w:val="3709F2C9"/>
    <w:rsid w:val="3710CAC9"/>
    <w:rsid w:val="37116FAE"/>
    <w:rsid w:val="373FE1C3"/>
    <w:rsid w:val="37469946"/>
    <w:rsid w:val="3748D861"/>
    <w:rsid w:val="375932D1"/>
    <w:rsid w:val="3772ED11"/>
    <w:rsid w:val="37BD250A"/>
    <w:rsid w:val="37C0A081"/>
    <w:rsid w:val="37CEB33D"/>
    <w:rsid w:val="37DED253"/>
    <w:rsid w:val="38041347"/>
    <w:rsid w:val="38379CD1"/>
    <w:rsid w:val="38659831"/>
    <w:rsid w:val="38810FB8"/>
    <w:rsid w:val="3895B690"/>
    <w:rsid w:val="38A2D38C"/>
    <w:rsid w:val="38B48F46"/>
    <w:rsid w:val="38C5E207"/>
    <w:rsid w:val="38C7F070"/>
    <w:rsid w:val="390EEB30"/>
    <w:rsid w:val="3911A874"/>
    <w:rsid w:val="3914785F"/>
    <w:rsid w:val="391D7538"/>
    <w:rsid w:val="392A4743"/>
    <w:rsid w:val="3936DAB5"/>
    <w:rsid w:val="3942926E"/>
    <w:rsid w:val="394FF049"/>
    <w:rsid w:val="399108C2"/>
    <w:rsid w:val="399B0EB5"/>
    <w:rsid w:val="399E7AE0"/>
    <w:rsid w:val="39A184DB"/>
    <w:rsid w:val="39E4A2B7"/>
    <w:rsid w:val="39F0A842"/>
    <w:rsid w:val="3A312A05"/>
    <w:rsid w:val="3A36F29E"/>
    <w:rsid w:val="3A7CD586"/>
    <w:rsid w:val="3A8C7E60"/>
    <w:rsid w:val="3AA17A5D"/>
    <w:rsid w:val="3AAB49E2"/>
    <w:rsid w:val="3AC1ACAD"/>
    <w:rsid w:val="3AC617A4"/>
    <w:rsid w:val="3AD1C3FA"/>
    <w:rsid w:val="3ADF6BF0"/>
    <w:rsid w:val="3AFBFEE1"/>
    <w:rsid w:val="3B1009FE"/>
    <w:rsid w:val="3B2F9136"/>
    <w:rsid w:val="3B36DF16"/>
    <w:rsid w:val="3B38BFFD"/>
    <w:rsid w:val="3B3BBC52"/>
    <w:rsid w:val="3B8A4BFA"/>
    <w:rsid w:val="3B903ECA"/>
    <w:rsid w:val="3BE8D609"/>
    <w:rsid w:val="3C3B24A5"/>
    <w:rsid w:val="3C40B60A"/>
    <w:rsid w:val="3C646D23"/>
    <w:rsid w:val="3C82F7F9"/>
    <w:rsid w:val="3CAB66E8"/>
    <w:rsid w:val="3CAB899C"/>
    <w:rsid w:val="3CB0FC9F"/>
    <w:rsid w:val="3CD4B24D"/>
    <w:rsid w:val="3CD80575"/>
    <w:rsid w:val="3CDF9C6D"/>
    <w:rsid w:val="3D0042AB"/>
    <w:rsid w:val="3D05AEDF"/>
    <w:rsid w:val="3D1F20F8"/>
    <w:rsid w:val="3D388F2E"/>
    <w:rsid w:val="3D5FA9E3"/>
    <w:rsid w:val="3D67D7C3"/>
    <w:rsid w:val="3D7AB05C"/>
    <w:rsid w:val="3DB2940D"/>
    <w:rsid w:val="3DFD4147"/>
    <w:rsid w:val="3DFDB866"/>
    <w:rsid w:val="3E01C0BB"/>
    <w:rsid w:val="3E467467"/>
    <w:rsid w:val="3E494E1E"/>
    <w:rsid w:val="3E4AB7E2"/>
    <w:rsid w:val="3E4C0056"/>
    <w:rsid w:val="3E70DA62"/>
    <w:rsid w:val="3E785E2B"/>
    <w:rsid w:val="3E7EE768"/>
    <w:rsid w:val="3ED8D59B"/>
    <w:rsid w:val="3EFC982B"/>
    <w:rsid w:val="3F0D9DF1"/>
    <w:rsid w:val="3F1F2CF9"/>
    <w:rsid w:val="3F23D0CA"/>
    <w:rsid w:val="3F399F28"/>
    <w:rsid w:val="3F3A5B21"/>
    <w:rsid w:val="3F3C9E64"/>
    <w:rsid w:val="3F48CA68"/>
    <w:rsid w:val="3F510BB5"/>
    <w:rsid w:val="3F5F2E6F"/>
    <w:rsid w:val="3FA462C7"/>
    <w:rsid w:val="3FE307AA"/>
    <w:rsid w:val="3FF39474"/>
    <w:rsid w:val="3FF4254B"/>
    <w:rsid w:val="401D28B7"/>
    <w:rsid w:val="403EDF87"/>
    <w:rsid w:val="405F39C8"/>
    <w:rsid w:val="40B650DD"/>
    <w:rsid w:val="40EE2285"/>
    <w:rsid w:val="4106EA85"/>
    <w:rsid w:val="410D361C"/>
    <w:rsid w:val="4150F398"/>
    <w:rsid w:val="416C8957"/>
    <w:rsid w:val="417E8B16"/>
    <w:rsid w:val="41887B4C"/>
    <w:rsid w:val="41D01175"/>
    <w:rsid w:val="41FE635E"/>
    <w:rsid w:val="42121D28"/>
    <w:rsid w:val="423B2325"/>
    <w:rsid w:val="425C27DF"/>
    <w:rsid w:val="4276E715"/>
    <w:rsid w:val="42BA864A"/>
    <w:rsid w:val="42BD7BE8"/>
    <w:rsid w:val="42CF8219"/>
    <w:rsid w:val="42F021FF"/>
    <w:rsid w:val="42F5D485"/>
    <w:rsid w:val="430B9DE4"/>
    <w:rsid w:val="4314F188"/>
    <w:rsid w:val="4322515D"/>
    <w:rsid w:val="434BB574"/>
    <w:rsid w:val="437402AF"/>
    <w:rsid w:val="439C8E0F"/>
    <w:rsid w:val="43A88479"/>
    <w:rsid w:val="43AC6071"/>
    <w:rsid w:val="43C367B6"/>
    <w:rsid w:val="43C99625"/>
    <w:rsid w:val="44386701"/>
    <w:rsid w:val="44403C4E"/>
    <w:rsid w:val="44415244"/>
    <w:rsid w:val="4450D1CF"/>
    <w:rsid w:val="44700A50"/>
    <w:rsid w:val="448E8194"/>
    <w:rsid w:val="44A216C8"/>
    <w:rsid w:val="44D3FAF8"/>
    <w:rsid w:val="44E8B65E"/>
    <w:rsid w:val="4548E52C"/>
    <w:rsid w:val="454D4B64"/>
    <w:rsid w:val="45643C2B"/>
    <w:rsid w:val="457CFD3A"/>
    <w:rsid w:val="458A6251"/>
    <w:rsid w:val="458FB84F"/>
    <w:rsid w:val="45C222B2"/>
    <w:rsid w:val="45CE95D1"/>
    <w:rsid w:val="45FB83A0"/>
    <w:rsid w:val="45FD7900"/>
    <w:rsid w:val="46256948"/>
    <w:rsid w:val="4630CED6"/>
    <w:rsid w:val="46326FBF"/>
    <w:rsid w:val="464BCBB1"/>
    <w:rsid w:val="4666F14A"/>
    <w:rsid w:val="466A7C05"/>
    <w:rsid w:val="466ECE07"/>
    <w:rsid w:val="467E8790"/>
    <w:rsid w:val="468C75CC"/>
    <w:rsid w:val="469DC660"/>
    <w:rsid w:val="46B3B883"/>
    <w:rsid w:val="46DC2C74"/>
    <w:rsid w:val="4700781A"/>
    <w:rsid w:val="470AE87B"/>
    <w:rsid w:val="47329162"/>
    <w:rsid w:val="47646F2B"/>
    <w:rsid w:val="47647A6F"/>
    <w:rsid w:val="4796A912"/>
    <w:rsid w:val="479AF7BD"/>
    <w:rsid w:val="479FE599"/>
    <w:rsid w:val="47B0B107"/>
    <w:rsid w:val="47DAC17C"/>
    <w:rsid w:val="47EC7F7F"/>
    <w:rsid w:val="47F19CBD"/>
    <w:rsid w:val="4834568F"/>
    <w:rsid w:val="48632C01"/>
    <w:rsid w:val="486AE651"/>
    <w:rsid w:val="4877FCD5"/>
    <w:rsid w:val="488BC8B4"/>
    <w:rsid w:val="488FC887"/>
    <w:rsid w:val="489670C5"/>
    <w:rsid w:val="489ED2CB"/>
    <w:rsid w:val="48C1D07D"/>
    <w:rsid w:val="48C20313"/>
    <w:rsid w:val="48C449CD"/>
    <w:rsid w:val="48C75911"/>
    <w:rsid w:val="48F7A048"/>
    <w:rsid w:val="49106BE4"/>
    <w:rsid w:val="493ED640"/>
    <w:rsid w:val="4949D6F5"/>
    <w:rsid w:val="495D6FAC"/>
    <w:rsid w:val="49737AD4"/>
    <w:rsid w:val="497E5CB7"/>
    <w:rsid w:val="49949E06"/>
    <w:rsid w:val="49B4CF63"/>
    <w:rsid w:val="49B715DF"/>
    <w:rsid w:val="49DE474D"/>
    <w:rsid w:val="49FFA990"/>
    <w:rsid w:val="4A33264E"/>
    <w:rsid w:val="4A34802C"/>
    <w:rsid w:val="4A38EDDB"/>
    <w:rsid w:val="4A3F748A"/>
    <w:rsid w:val="4A9370A9"/>
    <w:rsid w:val="4AB689B9"/>
    <w:rsid w:val="4AB7465D"/>
    <w:rsid w:val="4AD1AE78"/>
    <w:rsid w:val="4AD60859"/>
    <w:rsid w:val="4ADD53D7"/>
    <w:rsid w:val="4AEF8D1A"/>
    <w:rsid w:val="4B101522"/>
    <w:rsid w:val="4B5A559B"/>
    <w:rsid w:val="4B92CDB5"/>
    <w:rsid w:val="4B9B79F1"/>
    <w:rsid w:val="4BBF7123"/>
    <w:rsid w:val="4BC76949"/>
    <w:rsid w:val="4BFABC35"/>
    <w:rsid w:val="4BFEFA32"/>
    <w:rsid w:val="4C17FD70"/>
    <w:rsid w:val="4C1E83E2"/>
    <w:rsid w:val="4C2A0A0E"/>
    <w:rsid w:val="4C45C221"/>
    <w:rsid w:val="4C8B5D7B"/>
    <w:rsid w:val="4C9F9A72"/>
    <w:rsid w:val="4CC50DE0"/>
    <w:rsid w:val="4CD39E1A"/>
    <w:rsid w:val="4CE17056"/>
    <w:rsid w:val="4D0D07E4"/>
    <w:rsid w:val="4D29C010"/>
    <w:rsid w:val="4D3C5058"/>
    <w:rsid w:val="4D57F526"/>
    <w:rsid w:val="4D6A4F25"/>
    <w:rsid w:val="4D6C20EE"/>
    <w:rsid w:val="4D821270"/>
    <w:rsid w:val="4D859F20"/>
    <w:rsid w:val="4D886C86"/>
    <w:rsid w:val="4D8EA814"/>
    <w:rsid w:val="4DCABA11"/>
    <w:rsid w:val="4DE19282"/>
    <w:rsid w:val="4DEF9D1D"/>
    <w:rsid w:val="4E1E4FCA"/>
    <w:rsid w:val="4E1E77FC"/>
    <w:rsid w:val="4E2C7E20"/>
    <w:rsid w:val="4E2E5891"/>
    <w:rsid w:val="4E33DC36"/>
    <w:rsid w:val="4E579F3F"/>
    <w:rsid w:val="4E57F65B"/>
    <w:rsid w:val="4E75068C"/>
    <w:rsid w:val="4E8F4980"/>
    <w:rsid w:val="4E988EC6"/>
    <w:rsid w:val="4ECB934B"/>
    <w:rsid w:val="4ECBA72F"/>
    <w:rsid w:val="4ECE15FC"/>
    <w:rsid w:val="4F2FA3AE"/>
    <w:rsid w:val="4F4AB287"/>
    <w:rsid w:val="4F5813D2"/>
    <w:rsid w:val="4F5CCB33"/>
    <w:rsid w:val="4F5E60BA"/>
    <w:rsid w:val="4F6209C7"/>
    <w:rsid w:val="4FB3C459"/>
    <w:rsid w:val="4FB741D5"/>
    <w:rsid w:val="4FED9E3B"/>
    <w:rsid w:val="500CB072"/>
    <w:rsid w:val="502A645F"/>
    <w:rsid w:val="503F4BD1"/>
    <w:rsid w:val="50593759"/>
    <w:rsid w:val="507609AE"/>
    <w:rsid w:val="50A2A8EB"/>
    <w:rsid w:val="50C04EA4"/>
    <w:rsid w:val="50CAB724"/>
    <w:rsid w:val="50CBEE3D"/>
    <w:rsid w:val="50D7D7A2"/>
    <w:rsid w:val="50E8840F"/>
    <w:rsid w:val="50FB0E99"/>
    <w:rsid w:val="510D88A4"/>
    <w:rsid w:val="51231D42"/>
    <w:rsid w:val="512E7872"/>
    <w:rsid w:val="513D9B94"/>
    <w:rsid w:val="51A91054"/>
    <w:rsid w:val="51CF95DE"/>
    <w:rsid w:val="51D0BCEC"/>
    <w:rsid w:val="51DAF4F4"/>
    <w:rsid w:val="52106949"/>
    <w:rsid w:val="52126DA2"/>
    <w:rsid w:val="521BDF2B"/>
    <w:rsid w:val="5253C928"/>
    <w:rsid w:val="527628DD"/>
    <w:rsid w:val="52A9F404"/>
    <w:rsid w:val="52B4E081"/>
    <w:rsid w:val="52DA94A7"/>
    <w:rsid w:val="52E5B01A"/>
    <w:rsid w:val="53135443"/>
    <w:rsid w:val="532A9D6C"/>
    <w:rsid w:val="532DA62C"/>
    <w:rsid w:val="5338B9BC"/>
    <w:rsid w:val="5341D772"/>
    <w:rsid w:val="5349D590"/>
    <w:rsid w:val="534C2FEC"/>
    <w:rsid w:val="535831A2"/>
    <w:rsid w:val="535D35C9"/>
    <w:rsid w:val="53A0B5EE"/>
    <w:rsid w:val="53E87BDE"/>
    <w:rsid w:val="53FFB2F5"/>
    <w:rsid w:val="540BF22A"/>
    <w:rsid w:val="5411F93E"/>
    <w:rsid w:val="54184BFA"/>
    <w:rsid w:val="543509E5"/>
    <w:rsid w:val="543CB563"/>
    <w:rsid w:val="54458A62"/>
    <w:rsid w:val="544A078D"/>
    <w:rsid w:val="546D5496"/>
    <w:rsid w:val="547D4703"/>
    <w:rsid w:val="548DE3E7"/>
    <w:rsid w:val="54A9D59B"/>
    <w:rsid w:val="551A1952"/>
    <w:rsid w:val="5543FD94"/>
    <w:rsid w:val="554F3491"/>
    <w:rsid w:val="55ADC99F"/>
    <w:rsid w:val="55BF19B3"/>
    <w:rsid w:val="55C50328"/>
    <w:rsid w:val="55C989E0"/>
    <w:rsid w:val="55DC1A95"/>
    <w:rsid w:val="560DB33E"/>
    <w:rsid w:val="563AB812"/>
    <w:rsid w:val="5642452D"/>
    <w:rsid w:val="56483342"/>
    <w:rsid w:val="564C9F5F"/>
    <w:rsid w:val="566BF026"/>
    <w:rsid w:val="56CC096F"/>
    <w:rsid w:val="571B64A8"/>
    <w:rsid w:val="5734EA13"/>
    <w:rsid w:val="573E9D36"/>
    <w:rsid w:val="573ED9A9"/>
    <w:rsid w:val="5741362C"/>
    <w:rsid w:val="57856469"/>
    <w:rsid w:val="57A35C81"/>
    <w:rsid w:val="57C28366"/>
    <w:rsid w:val="57D0AF59"/>
    <w:rsid w:val="57D3E152"/>
    <w:rsid w:val="57E597F1"/>
    <w:rsid w:val="5888C6D2"/>
    <w:rsid w:val="58955F1D"/>
    <w:rsid w:val="58ADD9D7"/>
    <w:rsid w:val="59238A8D"/>
    <w:rsid w:val="59242205"/>
    <w:rsid w:val="5930DFB0"/>
    <w:rsid w:val="593863B4"/>
    <w:rsid w:val="59399170"/>
    <w:rsid w:val="594B2D98"/>
    <w:rsid w:val="595169E9"/>
    <w:rsid w:val="5955B550"/>
    <w:rsid w:val="59573D70"/>
    <w:rsid w:val="595CFF09"/>
    <w:rsid w:val="5963498D"/>
    <w:rsid w:val="597EB0EC"/>
    <w:rsid w:val="5995AF71"/>
    <w:rsid w:val="59EBF130"/>
    <w:rsid w:val="59F6EBBE"/>
    <w:rsid w:val="5A1013A1"/>
    <w:rsid w:val="5A370376"/>
    <w:rsid w:val="5A56A28C"/>
    <w:rsid w:val="5A63756C"/>
    <w:rsid w:val="5A884374"/>
    <w:rsid w:val="5A9BB1D9"/>
    <w:rsid w:val="5AA44B69"/>
    <w:rsid w:val="5AA99473"/>
    <w:rsid w:val="5B1DB425"/>
    <w:rsid w:val="5B20DB78"/>
    <w:rsid w:val="5B3F6149"/>
    <w:rsid w:val="5B529E00"/>
    <w:rsid w:val="5B857413"/>
    <w:rsid w:val="5B8699E8"/>
    <w:rsid w:val="5B8FC120"/>
    <w:rsid w:val="5B95F1E5"/>
    <w:rsid w:val="5BC5B144"/>
    <w:rsid w:val="5BEA482A"/>
    <w:rsid w:val="5BFC29C1"/>
    <w:rsid w:val="5C35667C"/>
    <w:rsid w:val="5C492D1B"/>
    <w:rsid w:val="5C811E49"/>
    <w:rsid w:val="5C8C83C6"/>
    <w:rsid w:val="5C90837B"/>
    <w:rsid w:val="5CB2BEFF"/>
    <w:rsid w:val="5CBBE69D"/>
    <w:rsid w:val="5CBCABD9"/>
    <w:rsid w:val="5CE4DBAA"/>
    <w:rsid w:val="5CF00DE2"/>
    <w:rsid w:val="5D0FB8CF"/>
    <w:rsid w:val="5D2B2B04"/>
    <w:rsid w:val="5D4206CF"/>
    <w:rsid w:val="5D4F40F9"/>
    <w:rsid w:val="5D63FA3A"/>
    <w:rsid w:val="5D6E728B"/>
    <w:rsid w:val="5D9CA3E3"/>
    <w:rsid w:val="5DA6BBD9"/>
    <w:rsid w:val="5DB553C6"/>
    <w:rsid w:val="5DBBAC8D"/>
    <w:rsid w:val="5DC3C640"/>
    <w:rsid w:val="5E1B4A41"/>
    <w:rsid w:val="5E239F23"/>
    <w:rsid w:val="5E28AAC2"/>
    <w:rsid w:val="5E342EB5"/>
    <w:rsid w:val="5E7D50B3"/>
    <w:rsid w:val="5E96798B"/>
    <w:rsid w:val="5E9F7F56"/>
    <w:rsid w:val="5EAB8930"/>
    <w:rsid w:val="5EB8FC1A"/>
    <w:rsid w:val="5EC3DCAC"/>
    <w:rsid w:val="5EC6E995"/>
    <w:rsid w:val="5ED147CA"/>
    <w:rsid w:val="5ED76355"/>
    <w:rsid w:val="5F134BC2"/>
    <w:rsid w:val="5F4B748D"/>
    <w:rsid w:val="5F8ED118"/>
    <w:rsid w:val="5F945673"/>
    <w:rsid w:val="5F9983AB"/>
    <w:rsid w:val="5FA4F59B"/>
    <w:rsid w:val="5FBC4BB4"/>
    <w:rsid w:val="5FD07CB9"/>
    <w:rsid w:val="5FD9841C"/>
    <w:rsid w:val="5FEBD7EF"/>
    <w:rsid w:val="60079157"/>
    <w:rsid w:val="602A52C9"/>
    <w:rsid w:val="602AB2F4"/>
    <w:rsid w:val="6040BE89"/>
    <w:rsid w:val="606B7F7F"/>
    <w:rsid w:val="60B2A3D8"/>
    <w:rsid w:val="60B45F09"/>
    <w:rsid w:val="60BDF014"/>
    <w:rsid w:val="60DE8478"/>
    <w:rsid w:val="61045BBD"/>
    <w:rsid w:val="61255F6C"/>
    <w:rsid w:val="6163B791"/>
    <w:rsid w:val="61785627"/>
    <w:rsid w:val="61948010"/>
    <w:rsid w:val="619A7D36"/>
    <w:rsid w:val="61C1DF84"/>
    <w:rsid w:val="61CACB37"/>
    <w:rsid w:val="61CDE37B"/>
    <w:rsid w:val="61E680C7"/>
    <w:rsid w:val="61E8152D"/>
    <w:rsid w:val="620A0E66"/>
    <w:rsid w:val="6216D02C"/>
    <w:rsid w:val="62262392"/>
    <w:rsid w:val="6259335F"/>
    <w:rsid w:val="625AAA59"/>
    <w:rsid w:val="626B49BA"/>
    <w:rsid w:val="62717628"/>
    <w:rsid w:val="62798A0D"/>
    <w:rsid w:val="6279F032"/>
    <w:rsid w:val="62834C0F"/>
    <w:rsid w:val="62C277D8"/>
    <w:rsid w:val="62CBF735"/>
    <w:rsid w:val="62D0DBF2"/>
    <w:rsid w:val="62FF87F2"/>
    <w:rsid w:val="631EB8D6"/>
    <w:rsid w:val="636253B6"/>
    <w:rsid w:val="638E3D84"/>
    <w:rsid w:val="638F353B"/>
    <w:rsid w:val="6391641A"/>
    <w:rsid w:val="6397E032"/>
    <w:rsid w:val="63AC8B3C"/>
    <w:rsid w:val="63AF4548"/>
    <w:rsid w:val="63C1A573"/>
    <w:rsid w:val="63D848A2"/>
    <w:rsid w:val="63E8FD24"/>
    <w:rsid w:val="63F26816"/>
    <w:rsid w:val="640F8767"/>
    <w:rsid w:val="6415FD5D"/>
    <w:rsid w:val="64253F9A"/>
    <w:rsid w:val="64339DFE"/>
    <w:rsid w:val="6453696C"/>
    <w:rsid w:val="64730423"/>
    <w:rsid w:val="649B5853"/>
    <w:rsid w:val="64C98426"/>
    <w:rsid w:val="64E057E9"/>
    <w:rsid w:val="650615BA"/>
    <w:rsid w:val="651972C7"/>
    <w:rsid w:val="652B114F"/>
    <w:rsid w:val="652F9F54"/>
    <w:rsid w:val="6577B8B2"/>
    <w:rsid w:val="658DB30A"/>
    <w:rsid w:val="65A3B017"/>
    <w:rsid w:val="65A7B5C8"/>
    <w:rsid w:val="65ADD259"/>
    <w:rsid w:val="65B190F4"/>
    <w:rsid w:val="65C39502"/>
    <w:rsid w:val="65DF0948"/>
    <w:rsid w:val="65EEEB96"/>
    <w:rsid w:val="660F38F7"/>
    <w:rsid w:val="6658F3E6"/>
    <w:rsid w:val="665B0A1C"/>
    <w:rsid w:val="665FB531"/>
    <w:rsid w:val="66657AE5"/>
    <w:rsid w:val="666C36B3"/>
    <w:rsid w:val="66777396"/>
    <w:rsid w:val="668DB23F"/>
    <w:rsid w:val="66A8B1A6"/>
    <w:rsid w:val="66B1F2CB"/>
    <w:rsid w:val="66C6E1B0"/>
    <w:rsid w:val="66E6BFFF"/>
    <w:rsid w:val="66E75474"/>
    <w:rsid w:val="66EDAA3F"/>
    <w:rsid w:val="66F84247"/>
    <w:rsid w:val="67285F9B"/>
    <w:rsid w:val="672E3557"/>
    <w:rsid w:val="67853EB5"/>
    <w:rsid w:val="678F82A3"/>
    <w:rsid w:val="67B2B71D"/>
    <w:rsid w:val="67B6410C"/>
    <w:rsid w:val="67B7CA90"/>
    <w:rsid w:val="67D8BD14"/>
    <w:rsid w:val="67E9F8BF"/>
    <w:rsid w:val="6847E231"/>
    <w:rsid w:val="6862B211"/>
    <w:rsid w:val="689CC71D"/>
    <w:rsid w:val="68A64891"/>
    <w:rsid w:val="68B1DFF0"/>
    <w:rsid w:val="68BCEECC"/>
    <w:rsid w:val="68C362B4"/>
    <w:rsid w:val="68F4C9C9"/>
    <w:rsid w:val="68FCBFDF"/>
    <w:rsid w:val="690811BE"/>
    <w:rsid w:val="693817D8"/>
    <w:rsid w:val="6960841B"/>
    <w:rsid w:val="696ABB59"/>
    <w:rsid w:val="69724B7F"/>
    <w:rsid w:val="6992AADE"/>
    <w:rsid w:val="69AD43EF"/>
    <w:rsid w:val="69B3C90C"/>
    <w:rsid w:val="69BBB3CF"/>
    <w:rsid w:val="69DC7B7D"/>
    <w:rsid w:val="69E8EBAC"/>
    <w:rsid w:val="69FF8860"/>
    <w:rsid w:val="6A15242A"/>
    <w:rsid w:val="6A19451C"/>
    <w:rsid w:val="6A1D7A5C"/>
    <w:rsid w:val="6A20F934"/>
    <w:rsid w:val="6A3E6D9E"/>
    <w:rsid w:val="6A417686"/>
    <w:rsid w:val="6A4218F2"/>
    <w:rsid w:val="6A625CCA"/>
    <w:rsid w:val="6A7EF020"/>
    <w:rsid w:val="6A850217"/>
    <w:rsid w:val="6AB1C196"/>
    <w:rsid w:val="6AC25CB9"/>
    <w:rsid w:val="6ADE55A5"/>
    <w:rsid w:val="6AE4A1F1"/>
    <w:rsid w:val="6AED1385"/>
    <w:rsid w:val="6AF848C8"/>
    <w:rsid w:val="6AF90E93"/>
    <w:rsid w:val="6B01E55D"/>
    <w:rsid w:val="6B11D244"/>
    <w:rsid w:val="6B2EAE90"/>
    <w:rsid w:val="6B3F1565"/>
    <w:rsid w:val="6B4B8D41"/>
    <w:rsid w:val="6B62E079"/>
    <w:rsid w:val="6B6D0570"/>
    <w:rsid w:val="6B756F54"/>
    <w:rsid w:val="6B804E8C"/>
    <w:rsid w:val="6B991125"/>
    <w:rsid w:val="6C016E27"/>
    <w:rsid w:val="6C14B092"/>
    <w:rsid w:val="6C1A994C"/>
    <w:rsid w:val="6C87CC80"/>
    <w:rsid w:val="6CB25AAC"/>
    <w:rsid w:val="6CBAB870"/>
    <w:rsid w:val="6CBD4605"/>
    <w:rsid w:val="6CD732B7"/>
    <w:rsid w:val="6CF13CEE"/>
    <w:rsid w:val="6CFC076B"/>
    <w:rsid w:val="6D49BCF9"/>
    <w:rsid w:val="6D6BEEC6"/>
    <w:rsid w:val="6D8456BE"/>
    <w:rsid w:val="6DBA9C35"/>
    <w:rsid w:val="6DCBF00A"/>
    <w:rsid w:val="6DDB82E1"/>
    <w:rsid w:val="6DDCF54D"/>
    <w:rsid w:val="6DDEA059"/>
    <w:rsid w:val="6DEC2955"/>
    <w:rsid w:val="6DF1514C"/>
    <w:rsid w:val="6DF9FD7B"/>
    <w:rsid w:val="6E15A712"/>
    <w:rsid w:val="6E15F7B8"/>
    <w:rsid w:val="6E21F8A1"/>
    <w:rsid w:val="6E2B18B7"/>
    <w:rsid w:val="6E4582EF"/>
    <w:rsid w:val="6E45F22E"/>
    <w:rsid w:val="6EA3086D"/>
    <w:rsid w:val="6EBCC1C5"/>
    <w:rsid w:val="6EE1699D"/>
    <w:rsid w:val="6F0C0997"/>
    <w:rsid w:val="6F2566BB"/>
    <w:rsid w:val="6F3F4ADD"/>
    <w:rsid w:val="6F4E980E"/>
    <w:rsid w:val="6F7FA0F3"/>
    <w:rsid w:val="6FB1CEEE"/>
    <w:rsid w:val="6FDE0AFA"/>
    <w:rsid w:val="6FE0E109"/>
    <w:rsid w:val="6FF7D41E"/>
    <w:rsid w:val="6FF7FE64"/>
    <w:rsid w:val="6FFDA7EF"/>
    <w:rsid w:val="7020BA34"/>
    <w:rsid w:val="7026BF5C"/>
    <w:rsid w:val="703EFA87"/>
    <w:rsid w:val="704F34E4"/>
    <w:rsid w:val="706FB802"/>
    <w:rsid w:val="70804224"/>
    <w:rsid w:val="70878F98"/>
    <w:rsid w:val="7094E3BA"/>
    <w:rsid w:val="70DAAD0A"/>
    <w:rsid w:val="71284895"/>
    <w:rsid w:val="7143F001"/>
    <w:rsid w:val="7155F446"/>
    <w:rsid w:val="715B330B"/>
    <w:rsid w:val="717A5B48"/>
    <w:rsid w:val="7193AE6F"/>
    <w:rsid w:val="719D0FEB"/>
    <w:rsid w:val="71BDAA95"/>
    <w:rsid w:val="71C02522"/>
    <w:rsid w:val="71C55253"/>
    <w:rsid w:val="71DC46F4"/>
    <w:rsid w:val="71E5CFC6"/>
    <w:rsid w:val="723EE4E9"/>
    <w:rsid w:val="724BFE45"/>
    <w:rsid w:val="72613C88"/>
    <w:rsid w:val="7283F216"/>
    <w:rsid w:val="7287FE42"/>
    <w:rsid w:val="72D87FD0"/>
    <w:rsid w:val="72F52E88"/>
    <w:rsid w:val="72FD6880"/>
    <w:rsid w:val="73063652"/>
    <w:rsid w:val="730F0771"/>
    <w:rsid w:val="73238CBE"/>
    <w:rsid w:val="732CFFC3"/>
    <w:rsid w:val="734DD322"/>
    <w:rsid w:val="735CCAEE"/>
    <w:rsid w:val="735F7C42"/>
    <w:rsid w:val="73781755"/>
    <w:rsid w:val="73A0D164"/>
    <w:rsid w:val="73A29A4E"/>
    <w:rsid w:val="73A2AE6B"/>
    <w:rsid w:val="73C687EA"/>
    <w:rsid w:val="73D4F076"/>
    <w:rsid w:val="73DF79C4"/>
    <w:rsid w:val="742C0940"/>
    <w:rsid w:val="743194C6"/>
    <w:rsid w:val="744AC465"/>
    <w:rsid w:val="7486C87C"/>
    <w:rsid w:val="74F67BB3"/>
    <w:rsid w:val="757B8706"/>
    <w:rsid w:val="75839F07"/>
    <w:rsid w:val="7584292D"/>
    <w:rsid w:val="75943330"/>
    <w:rsid w:val="75BB92D8"/>
    <w:rsid w:val="75BDD992"/>
    <w:rsid w:val="75CB35C1"/>
    <w:rsid w:val="75D7EA24"/>
    <w:rsid w:val="75DAA430"/>
    <w:rsid w:val="75ED7FAF"/>
    <w:rsid w:val="7601D27B"/>
    <w:rsid w:val="7625711B"/>
    <w:rsid w:val="76288C55"/>
    <w:rsid w:val="76371B38"/>
    <w:rsid w:val="76376339"/>
    <w:rsid w:val="76428993"/>
    <w:rsid w:val="7646A833"/>
    <w:rsid w:val="76620A3B"/>
    <w:rsid w:val="766BE297"/>
    <w:rsid w:val="76908A57"/>
    <w:rsid w:val="76B00514"/>
    <w:rsid w:val="76B53E85"/>
    <w:rsid w:val="76B93A94"/>
    <w:rsid w:val="76D48499"/>
    <w:rsid w:val="76DE1CCE"/>
    <w:rsid w:val="76DF0BFF"/>
    <w:rsid w:val="76EDD208"/>
    <w:rsid w:val="77262546"/>
    <w:rsid w:val="774AC862"/>
    <w:rsid w:val="779EF813"/>
    <w:rsid w:val="77AC7EF1"/>
    <w:rsid w:val="77C12860"/>
    <w:rsid w:val="77D0C86D"/>
    <w:rsid w:val="77D63F40"/>
    <w:rsid w:val="77E084DD"/>
    <w:rsid w:val="7890D9CD"/>
    <w:rsid w:val="78AE8F47"/>
    <w:rsid w:val="78D4BE36"/>
    <w:rsid w:val="78E02E32"/>
    <w:rsid w:val="78FC9DED"/>
    <w:rsid w:val="793C4F46"/>
    <w:rsid w:val="7948CDE8"/>
    <w:rsid w:val="7955939D"/>
    <w:rsid w:val="796C98CE"/>
    <w:rsid w:val="79B91A56"/>
    <w:rsid w:val="79BDA345"/>
    <w:rsid w:val="79C37B5D"/>
    <w:rsid w:val="79D1EB1C"/>
    <w:rsid w:val="79D7B2F9"/>
    <w:rsid w:val="7A03C81A"/>
    <w:rsid w:val="7A1F95EA"/>
    <w:rsid w:val="7A4EBB48"/>
    <w:rsid w:val="7A678F72"/>
    <w:rsid w:val="7A7FE8A0"/>
    <w:rsid w:val="7AB37F29"/>
    <w:rsid w:val="7ABBF6BE"/>
    <w:rsid w:val="7AD512B4"/>
    <w:rsid w:val="7AD6D826"/>
    <w:rsid w:val="7B18A82C"/>
    <w:rsid w:val="7B2F1908"/>
    <w:rsid w:val="7B3B64C9"/>
    <w:rsid w:val="7B53902E"/>
    <w:rsid w:val="7B7A6FA5"/>
    <w:rsid w:val="7BC825FA"/>
    <w:rsid w:val="7BCBE4EB"/>
    <w:rsid w:val="7BCCD375"/>
    <w:rsid w:val="7BD72E96"/>
    <w:rsid w:val="7BDB7D33"/>
    <w:rsid w:val="7BF0DF15"/>
    <w:rsid w:val="7BFA3F72"/>
    <w:rsid w:val="7C13A36F"/>
    <w:rsid w:val="7C1D00CE"/>
    <w:rsid w:val="7C3CA6AB"/>
    <w:rsid w:val="7C421238"/>
    <w:rsid w:val="7C43B807"/>
    <w:rsid w:val="7C4E9BDF"/>
    <w:rsid w:val="7C5DC3D0"/>
    <w:rsid w:val="7C6FED10"/>
    <w:rsid w:val="7CA9EAEF"/>
    <w:rsid w:val="7CC06D6B"/>
    <w:rsid w:val="7CD9B332"/>
    <w:rsid w:val="7D097B1E"/>
    <w:rsid w:val="7D0F53BB"/>
    <w:rsid w:val="7D1AB5F5"/>
    <w:rsid w:val="7D2EABB0"/>
    <w:rsid w:val="7D325A69"/>
    <w:rsid w:val="7D63AF7F"/>
    <w:rsid w:val="7DB8FBC0"/>
    <w:rsid w:val="7DDF6937"/>
    <w:rsid w:val="7DEB0620"/>
    <w:rsid w:val="7DFE5F09"/>
    <w:rsid w:val="7E01E1E2"/>
    <w:rsid w:val="7E3A5403"/>
    <w:rsid w:val="7E3EB373"/>
    <w:rsid w:val="7E5B5D79"/>
    <w:rsid w:val="7E6B144B"/>
    <w:rsid w:val="7E75A22D"/>
    <w:rsid w:val="7E7799DF"/>
    <w:rsid w:val="7EBE38A8"/>
    <w:rsid w:val="7EC118C2"/>
    <w:rsid w:val="7EE43DCE"/>
    <w:rsid w:val="7EE7B6D3"/>
    <w:rsid w:val="7F3A3166"/>
    <w:rsid w:val="7F50A2CF"/>
    <w:rsid w:val="7F5F817C"/>
    <w:rsid w:val="7F6B2DF4"/>
    <w:rsid w:val="7F756467"/>
    <w:rsid w:val="7F7C6C3A"/>
    <w:rsid w:val="7F7E47A1"/>
    <w:rsid w:val="7F81992D"/>
    <w:rsid w:val="7FB5A96C"/>
    <w:rsid w:val="7FC428AB"/>
    <w:rsid w:val="7FD436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A4F25"/>
  <w15:chartTrackingRefBased/>
  <w15:docId w15:val="{EB272569-A0B4-484D-898D-6D18B47A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654"/>
    <w:rPr>
      <w:rFonts w:eastAsia="Calibri" w:cstheme="minorHAnsi"/>
      <w:color w:val="000000" w:themeColor="text1"/>
      <w:lang w:val="en-AU"/>
    </w:rPr>
  </w:style>
  <w:style w:type="paragraph" w:styleId="Heading1">
    <w:name w:val="heading 1"/>
    <w:basedOn w:val="Normal"/>
    <w:next w:val="Normal"/>
    <w:link w:val="Heading1Char"/>
    <w:uiPriority w:val="9"/>
    <w:qFormat/>
    <w:rsid w:val="00A17FCC"/>
    <w:pPr>
      <w:keepNext/>
      <w:keepLines/>
      <w:spacing w:before="240" w:after="200" w:line="276" w:lineRule="auto"/>
      <w:outlineLvl w:val="0"/>
    </w:pPr>
    <w:rPr>
      <w:rFonts w:ascii="Calibri" w:hAnsi="Calibri" w:cs="Calibri"/>
      <w:b/>
      <w:bCs/>
      <w:color w:val="081594"/>
      <w:sz w:val="44"/>
      <w:szCs w:val="44"/>
    </w:rPr>
  </w:style>
  <w:style w:type="paragraph" w:styleId="Heading2">
    <w:name w:val="heading 2"/>
    <w:basedOn w:val="Normal"/>
    <w:next w:val="Normal"/>
    <w:link w:val="Heading2Char"/>
    <w:uiPriority w:val="9"/>
    <w:unhideWhenUsed/>
    <w:qFormat/>
    <w:rsid w:val="00E60360"/>
    <w:pPr>
      <w:keepNext/>
      <w:keepLines/>
      <w:spacing w:before="40" w:after="0"/>
      <w:outlineLvl w:val="1"/>
    </w:pPr>
    <w:rPr>
      <w:rFonts w:asciiTheme="majorHAnsi" w:hAnsiTheme="majorHAnsi" w:cstheme="majorBidi"/>
      <w:b/>
      <w:bCs/>
      <w:color w:val="2F5496" w:themeColor="accent1" w:themeShade="BF"/>
      <w:sz w:val="26"/>
      <w:szCs w:val="26"/>
      <w:lang w:val="en-US"/>
    </w:rPr>
  </w:style>
  <w:style w:type="paragraph" w:styleId="Heading3">
    <w:name w:val="heading 3"/>
    <w:basedOn w:val="Normal"/>
    <w:next w:val="Normal"/>
    <w:link w:val="Heading3Char"/>
    <w:uiPriority w:val="9"/>
    <w:unhideWhenUsed/>
    <w:qFormat/>
    <w:rsid w:val="004A17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F6BD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560DB33E"/>
  </w:style>
  <w:style w:type="character" w:customStyle="1" w:styleId="eop">
    <w:name w:val="eop"/>
    <w:basedOn w:val="DefaultParagraphFont"/>
    <w:rsid w:val="560DB33E"/>
  </w:style>
  <w:style w:type="paragraph" w:customStyle="1" w:styleId="paragraph">
    <w:name w:val="paragraph"/>
    <w:basedOn w:val="Normal"/>
    <w:rsid w:val="560DB33E"/>
    <w:pPr>
      <w:spacing w:beforeAutospacing="1" w:afterAutospacing="1"/>
    </w:pPr>
    <w:rPr>
      <w:rFonts w:ascii="Times New Roman" w:eastAsia="Times New Roman" w:hAnsi="Times New Roman" w:cs="Times New Roman"/>
      <w:sz w:val="24"/>
      <w:szCs w:val="24"/>
      <w:lang w:eastAsia="en-AU"/>
    </w:rPr>
  </w:style>
  <w:style w:type="character" w:customStyle="1" w:styleId="superscript">
    <w:name w:val="superscript"/>
    <w:basedOn w:val="DefaultParagraphFont"/>
    <w:uiPriority w:val="1"/>
    <w:rsid w:val="560DB33E"/>
  </w:style>
  <w:style w:type="character" w:customStyle="1" w:styleId="findhit">
    <w:name w:val="findhit"/>
    <w:basedOn w:val="DefaultParagraphFont"/>
    <w:uiPriority w:val="1"/>
    <w:rsid w:val="560DB33E"/>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A17FCC"/>
    <w:rPr>
      <w:rFonts w:ascii="Calibri" w:eastAsia="Calibri" w:hAnsi="Calibri" w:cs="Calibri"/>
      <w:b/>
      <w:bCs/>
      <w:color w:val="081594"/>
      <w:sz w:val="44"/>
      <w:szCs w:val="44"/>
      <w:lang w:val="en-AU"/>
    </w:rPr>
  </w:style>
  <w:style w:type="character" w:styleId="Hyperlink">
    <w:name w:val="Hyperlink"/>
    <w:basedOn w:val="DefaultParagraphFont"/>
    <w:uiPriority w:val="99"/>
    <w:unhideWhenUsed/>
    <w:rsid w:val="0046761D"/>
    <w:rPr>
      <w:color w:val="0563C1" w:themeColor="hyperlink"/>
      <w:u w:val="single"/>
    </w:rPr>
  </w:style>
  <w:style w:type="character" w:styleId="UnresolvedMention">
    <w:name w:val="Unresolved Mention"/>
    <w:basedOn w:val="DefaultParagraphFont"/>
    <w:uiPriority w:val="99"/>
    <w:semiHidden/>
    <w:unhideWhenUsed/>
    <w:rsid w:val="0046761D"/>
    <w:rPr>
      <w:color w:val="605E5C"/>
      <w:shd w:val="clear" w:color="auto" w:fill="E1DFDD"/>
    </w:rPr>
  </w:style>
  <w:style w:type="character" w:customStyle="1" w:styleId="Heading2Char">
    <w:name w:val="Heading 2 Char"/>
    <w:basedOn w:val="DefaultParagraphFont"/>
    <w:link w:val="Heading2"/>
    <w:uiPriority w:val="9"/>
    <w:rsid w:val="00E60360"/>
    <w:rPr>
      <w:rFonts w:asciiTheme="majorHAnsi" w:eastAsia="Calibri" w:hAnsiTheme="majorHAnsi" w:cstheme="majorBidi"/>
      <w:b/>
      <w:bCs/>
      <w:color w:val="2F5496" w:themeColor="accent1" w:themeShade="BF"/>
      <w:sz w:val="26"/>
      <w:szCs w:val="26"/>
    </w:rPr>
  </w:style>
  <w:style w:type="character" w:customStyle="1" w:styleId="Heading4Char">
    <w:name w:val="Heading 4 Char"/>
    <w:basedOn w:val="DefaultParagraphFont"/>
    <w:link w:val="Heading4"/>
    <w:uiPriority w:val="9"/>
    <w:semiHidden/>
    <w:rsid w:val="002F6BD0"/>
    <w:rPr>
      <w:rFonts w:asciiTheme="majorHAnsi" w:eastAsiaTheme="majorEastAsia" w:hAnsiTheme="majorHAnsi" w:cstheme="majorBidi"/>
      <w:i/>
      <w:iCs/>
      <w:color w:val="2F5496" w:themeColor="accent1" w:themeShade="BF"/>
      <w:lang w:val="en-AU"/>
    </w:rPr>
  </w:style>
  <w:style w:type="character" w:customStyle="1" w:styleId="Heading3Char">
    <w:name w:val="Heading 3 Char"/>
    <w:basedOn w:val="DefaultParagraphFont"/>
    <w:link w:val="Heading3"/>
    <w:uiPriority w:val="9"/>
    <w:rsid w:val="004A1795"/>
    <w:rPr>
      <w:rFonts w:asciiTheme="majorHAnsi" w:eastAsiaTheme="majorEastAsia" w:hAnsiTheme="majorHAnsi" w:cstheme="majorBidi"/>
      <w:color w:val="1F3763" w:themeColor="accent1" w:themeShade="7F"/>
      <w:sz w:val="24"/>
      <w:szCs w:val="24"/>
      <w:lang w:val="en-AU"/>
    </w:rPr>
  </w:style>
  <w:style w:type="paragraph" w:styleId="FootnoteText">
    <w:name w:val="footnote text"/>
    <w:basedOn w:val="Normal"/>
    <w:link w:val="FootnoteTextChar"/>
    <w:uiPriority w:val="99"/>
    <w:semiHidden/>
    <w:unhideWhenUsed/>
    <w:rsid w:val="00167A24"/>
    <w:pPr>
      <w:spacing w:after="0" w:line="240" w:lineRule="auto"/>
    </w:pPr>
    <w:rPr>
      <w:rFonts w:ascii="Calibri" w:hAnsi="Calibri" w:cs="Times New Roman"/>
      <w:color w:val="auto"/>
      <w:sz w:val="20"/>
      <w:szCs w:val="20"/>
    </w:rPr>
  </w:style>
  <w:style w:type="character" w:customStyle="1" w:styleId="FootnoteTextChar">
    <w:name w:val="Footnote Text Char"/>
    <w:basedOn w:val="DefaultParagraphFont"/>
    <w:link w:val="FootnoteText"/>
    <w:uiPriority w:val="99"/>
    <w:semiHidden/>
    <w:rsid w:val="00167A24"/>
    <w:rPr>
      <w:rFonts w:ascii="Calibri" w:eastAsia="Calibri" w:hAnsi="Calibri" w:cs="Times New Roman"/>
      <w:sz w:val="20"/>
      <w:szCs w:val="20"/>
      <w:lang w:val="en-AU"/>
    </w:rPr>
  </w:style>
  <w:style w:type="character" w:styleId="FootnoteReference">
    <w:name w:val="footnote reference"/>
    <w:basedOn w:val="DefaultParagraphFont"/>
    <w:uiPriority w:val="99"/>
    <w:semiHidden/>
    <w:unhideWhenUsed/>
    <w:rsid w:val="00167A24"/>
    <w:rPr>
      <w:vertAlign w:val="superscript"/>
    </w:rPr>
  </w:style>
  <w:style w:type="table" w:styleId="TableGrid">
    <w:name w:val="Table Grid"/>
    <w:basedOn w:val="TableNormal"/>
    <w:uiPriority w:val="39"/>
    <w:rsid w:val="00167A24"/>
    <w:pPr>
      <w:spacing w:after="0" w:line="240" w:lineRule="auto"/>
    </w:pPr>
    <w:rPr>
      <w:rFonts w:ascii="Calibri" w:eastAsia="Calibri" w:hAnsi="Calibri" w:cs="Times New Roman"/>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BB10F5"/>
    <w:pPr>
      <w:spacing w:line="276" w:lineRule="auto"/>
    </w:pPr>
    <w:rPr>
      <w:rFonts w:eastAsiaTheme="minorHAnsi" w:cstheme="minorBidi"/>
      <w:i/>
      <w:iCs/>
      <w:color w:val="003024"/>
      <w:sz w:val="24"/>
      <w:szCs w:val="24"/>
    </w:rPr>
  </w:style>
  <w:style w:type="character" w:customStyle="1" w:styleId="QuoteChar">
    <w:name w:val="Quote Char"/>
    <w:basedOn w:val="DefaultParagraphFont"/>
    <w:link w:val="Quote"/>
    <w:uiPriority w:val="29"/>
    <w:rsid w:val="00BB10F5"/>
    <w:rPr>
      <w:i/>
      <w:iCs/>
      <w:color w:val="003024"/>
      <w:sz w:val="24"/>
      <w:szCs w:val="24"/>
      <w:lang w:val="en-AU"/>
    </w:rPr>
  </w:style>
  <w:style w:type="paragraph" w:styleId="Header">
    <w:name w:val="header"/>
    <w:basedOn w:val="Normal"/>
    <w:link w:val="HeaderChar"/>
    <w:uiPriority w:val="99"/>
    <w:unhideWhenUsed/>
    <w:rsid w:val="00387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FA6"/>
    <w:rPr>
      <w:rFonts w:eastAsia="Calibri" w:cstheme="minorHAnsi"/>
      <w:color w:val="000000" w:themeColor="text1"/>
      <w:lang w:val="en-AU"/>
    </w:rPr>
  </w:style>
  <w:style w:type="paragraph" w:styleId="Footer">
    <w:name w:val="footer"/>
    <w:basedOn w:val="Normal"/>
    <w:link w:val="FooterChar"/>
    <w:uiPriority w:val="99"/>
    <w:unhideWhenUsed/>
    <w:rsid w:val="00387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FA6"/>
    <w:rPr>
      <w:rFonts w:eastAsia="Calibri" w:cstheme="minorHAnsi"/>
      <w:color w:val="000000" w:themeColor="text1"/>
      <w:lang w:val="en-AU"/>
    </w:rPr>
  </w:style>
  <w:style w:type="character" w:customStyle="1" w:styleId="ui-provider">
    <w:name w:val="ui-provider"/>
    <w:basedOn w:val="DefaultParagraphFont"/>
    <w:uiPriority w:val="1"/>
    <w:rsid w:val="009E2FCC"/>
  </w:style>
  <w:style w:type="character" w:styleId="FollowedHyperlink">
    <w:name w:val="FollowedHyperlink"/>
    <w:basedOn w:val="DefaultParagraphFont"/>
    <w:uiPriority w:val="99"/>
    <w:semiHidden/>
    <w:unhideWhenUsed/>
    <w:rsid w:val="00DC54B3"/>
    <w:rPr>
      <w:color w:val="954F72"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eastAsia="Calibri" w:cstheme="minorHAnsi"/>
      <w:color w:val="000000" w:themeColor="text1"/>
      <w:sz w:val="20"/>
      <w:szCs w:val="20"/>
      <w:lang w:val="en-AU"/>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469FC"/>
    <w:pPr>
      <w:spacing w:after="0" w:line="240" w:lineRule="auto"/>
    </w:pPr>
    <w:rPr>
      <w:rFonts w:eastAsia="Calibri" w:cstheme="minorHAnsi"/>
      <w:color w:val="000000" w:themeColor="text1"/>
      <w:lang w:val="en-AU"/>
    </w:rPr>
  </w:style>
  <w:style w:type="character" w:customStyle="1" w:styleId="tabchar">
    <w:name w:val="tabchar"/>
    <w:basedOn w:val="DefaultParagraphFont"/>
    <w:rsid w:val="00A5335A"/>
  </w:style>
  <w:style w:type="paragraph" w:styleId="CommentSubject">
    <w:name w:val="annotation subject"/>
    <w:basedOn w:val="CommentText"/>
    <w:next w:val="CommentText"/>
    <w:link w:val="CommentSubjectChar"/>
    <w:uiPriority w:val="99"/>
    <w:semiHidden/>
    <w:unhideWhenUsed/>
    <w:rsid w:val="00CA32D7"/>
    <w:rPr>
      <w:b/>
      <w:bCs/>
    </w:rPr>
  </w:style>
  <w:style w:type="character" w:customStyle="1" w:styleId="CommentSubjectChar">
    <w:name w:val="Comment Subject Char"/>
    <w:basedOn w:val="CommentTextChar"/>
    <w:link w:val="CommentSubject"/>
    <w:uiPriority w:val="99"/>
    <w:semiHidden/>
    <w:rsid w:val="00CA32D7"/>
    <w:rPr>
      <w:rFonts w:eastAsia="Calibri" w:cstheme="minorHAnsi"/>
      <w:b/>
      <w:bCs/>
      <w:color w:val="000000" w:themeColor="text1"/>
      <w:sz w:val="20"/>
      <w:szCs w:val="20"/>
      <w:lang w:val="en-AU"/>
    </w:rPr>
  </w:style>
  <w:style w:type="paragraph" w:styleId="TOCHeading">
    <w:name w:val="TOC Heading"/>
    <w:basedOn w:val="Heading1"/>
    <w:next w:val="Normal"/>
    <w:uiPriority w:val="39"/>
    <w:unhideWhenUsed/>
    <w:qFormat/>
    <w:rsid w:val="00F36380"/>
    <w:pPr>
      <w:spacing w:after="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F36380"/>
    <w:pPr>
      <w:spacing w:after="100"/>
    </w:pPr>
  </w:style>
  <w:style w:type="paragraph" w:styleId="TOC2">
    <w:name w:val="toc 2"/>
    <w:basedOn w:val="Normal"/>
    <w:next w:val="Normal"/>
    <w:autoRedefine/>
    <w:uiPriority w:val="39"/>
    <w:unhideWhenUsed/>
    <w:rsid w:val="00F3638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138">
      <w:bodyDiv w:val="1"/>
      <w:marLeft w:val="0"/>
      <w:marRight w:val="0"/>
      <w:marTop w:val="0"/>
      <w:marBottom w:val="0"/>
      <w:divBdr>
        <w:top w:val="none" w:sz="0" w:space="0" w:color="auto"/>
        <w:left w:val="none" w:sz="0" w:space="0" w:color="auto"/>
        <w:bottom w:val="none" w:sz="0" w:space="0" w:color="auto"/>
        <w:right w:val="none" w:sz="0" w:space="0" w:color="auto"/>
      </w:divBdr>
      <w:divsChild>
        <w:div w:id="34476705">
          <w:marLeft w:val="0"/>
          <w:marRight w:val="0"/>
          <w:marTop w:val="0"/>
          <w:marBottom w:val="0"/>
          <w:divBdr>
            <w:top w:val="none" w:sz="0" w:space="0" w:color="auto"/>
            <w:left w:val="none" w:sz="0" w:space="0" w:color="auto"/>
            <w:bottom w:val="none" w:sz="0" w:space="0" w:color="auto"/>
            <w:right w:val="none" w:sz="0" w:space="0" w:color="auto"/>
          </w:divBdr>
          <w:divsChild>
            <w:div w:id="919680047">
              <w:marLeft w:val="0"/>
              <w:marRight w:val="0"/>
              <w:marTop w:val="0"/>
              <w:marBottom w:val="0"/>
              <w:divBdr>
                <w:top w:val="none" w:sz="0" w:space="0" w:color="auto"/>
                <w:left w:val="none" w:sz="0" w:space="0" w:color="auto"/>
                <w:bottom w:val="none" w:sz="0" w:space="0" w:color="auto"/>
                <w:right w:val="none" w:sz="0" w:space="0" w:color="auto"/>
              </w:divBdr>
            </w:div>
          </w:divsChild>
        </w:div>
        <w:div w:id="138543853">
          <w:marLeft w:val="0"/>
          <w:marRight w:val="0"/>
          <w:marTop w:val="0"/>
          <w:marBottom w:val="0"/>
          <w:divBdr>
            <w:top w:val="none" w:sz="0" w:space="0" w:color="auto"/>
            <w:left w:val="none" w:sz="0" w:space="0" w:color="auto"/>
            <w:bottom w:val="none" w:sz="0" w:space="0" w:color="auto"/>
            <w:right w:val="none" w:sz="0" w:space="0" w:color="auto"/>
          </w:divBdr>
          <w:divsChild>
            <w:div w:id="26495625">
              <w:marLeft w:val="0"/>
              <w:marRight w:val="0"/>
              <w:marTop w:val="0"/>
              <w:marBottom w:val="0"/>
              <w:divBdr>
                <w:top w:val="none" w:sz="0" w:space="0" w:color="auto"/>
                <w:left w:val="none" w:sz="0" w:space="0" w:color="auto"/>
                <w:bottom w:val="none" w:sz="0" w:space="0" w:color="auto"/>
                <w:right w:val="none" w:sz="0" w:space="0" w:color="auto"/>
              </w:divBdr>
            </w:div>
          </w:divsChild>
        </w:div>
        <w:div w:id="151678999">
          <w:marLeft w:val="0"/>
          <w:marRight w:val="0"/>
          <w:marTop w:val="0"/>
          <w:marBottom w:val="0"/>
          <w:divBdr>
            <w:top w:val="none" w:sz="0" w:space="0" w:color="auto"/>
            <w:left w:val="none" w:sz="0" w:space="0" w:color="auto"/>
            <w:bottom w:val="none" w:sz="0" w:space="0" w:color="auto"/>
            <w:right w:val="none" w:sz="0" w:space="0" w:color="auto"/>
          </w:divBdr>
          <w:divsChild>
            <w:div w:id="78453615">
              <w:marLeft w:val="0"/>
              <w:marRight w:val="0"/>
              <w:marTop w:val="0"/>
              <w:marBottom w:val="0"/>
              <w:divBdr>
                <w:top w:val="none" w:sz="0" w:space="0" w:color="auto"/>
                <w:left w:val="none" w:sz="0" w:space="0" w:color="auto"/>
                <w:bottom w:val="none" w:sz="0" w:space="0" w:color="auto"/>
                <w:right w:val="none" w:sz="0" w:space="0" w:color="auto"/>
              </w:divBdr>
            </w:div>
            <w:div w:id="553388836">
              <w:marLeft w:val="0"/>
              <w:marRight w:val="0"/>
              <w:marTop w:val="0"/>
              <w:marBottom w:val="0"/>
              <w:divBdr>
                <w:top w:val="none" w:sz="0" w:space="0" w:color="auto"/>
                <w:left w:val="none" w:sz="0" w:space="0" w:color="auto"/>
                <w:bottom w:val="none" w:sz="0" w:space="0" w:color="auto"/>
                <w:right w:val="none" w:sz="0" w:space="0" w:color="auto"/>
              </w:divBdr>
            </w:div>
            <w:div w:id="1142770586">
              <w:marLeft w:val="0"/>
              <w:marRight w:val="0"/>
              <w:marTop w:val="0"/>
              <w:marBottom w:val="0"/>
              <w:divBdr>
                <w:top w:val="none" w:sz="0" w:space="0" w:color="auto"/>
                <w:left w:val="none" w:sz="0" w:space="0" w:color="auto"/>
                <w:bottom w:val="none" w:sz="0" w:space="0" w:color="auto"/>
                <w:right w:val="none" w:sz="0" w:space="0" w:color="auto"/>
              </w:divBdr>
            </w:div>
            <w:div w:id="2037001010">
              <w:marLeft w:val="0"/>
              <w:marRight w:val="0"/>
              <w:marTop w:val="0"/>
              <w:marBottom w:val="0"/>
              <w:divBdr>
                <w:top w:val="none" w:sz="0" w:space="0" w:color="auto"/>
                <w:left w:val="none" w:sz="0" w:space="0" w:color="auto"/>
                <w:bottom w:val="none" w:sz="0" w:space="0" w:color="auto"/>
                <w:right w:val="none" w:sz="0" w:space="0" w:color="auto"/>
              </w:divBdr>
            </w:div>
          </w:divsChild>
        </w:div>
        <w:div w:id="245579650">
          <w:marLeft w:val="0"/>
          <w:marRight w:val="0"/>
          <w:marTop w:val="0"/>
          <w:marBottom w:val="0"/>
          <w:divBdr>
            <w:top w:val="none" w:sz="0" w:space="0" w:color="auto"/>
            <w:left w:val="none" w:sz="0" w:space="0" w:color="auto"/>
            <w:bottom w:val="none" w:sz="0" w:space="0" w:color="auto"/>
            <w:right w:val="none" w:sz="0" w:space="0" w:color="auto"/>
          </w:divBdr>
          <w:divsChild>
            <w:div w:id="1471093254">
              <w:marLeft w:val="0"/>
              <w:marRight w:val="0"/>
              <w:marTop w:val="0"/>
              <w:marBottom w:val="0"/>
              <w:divBdr>
                <w:top w:val="none" w:sz="0" w:space="0" w:color="auto"/>
                <w:left w:val="none" w:sz="0" w:space="0" w:color="auto"/>
                <w:bottom w:val="none" w:sz="0" w:space="0" w:color="auto"/>
                <w:right w:val="none" w:sz="0" w:space="0" w:color="auto"/>
              </w:divBdr>
            </w:div>
            <w:div w:id="1535069720">
              <w:marLeft w:val="0"/>
              <w:marRight w:val="0"/>
              <w:marTop w:val="0"/>
              <w:marBottom w:val="0"/>
              <w:divBdr>
                <w:top w:val="none" w:sz="0" w:space="0" w:color="auto"/>
                <w:left w:val="none" w:sz="0" w:space="0" w:color="auto"/>
                <w:bottom w:val="none" w:sz="0" w:space="0" w:color="auto"/>
                <w:right w:val="none" w:sz="0" w:space="0" w:color="auto"/>
              </w:divBdr>
            </w:div>
            <w:div w:id="2044865703">
              <w:marLeft w:val="0"/>
              <w:marRight w:val="0"/>
              <w:marTop w:val="0"/>
              <w:marBottom w:val="0"/>
              <w:divBdr>
                <w:top w:val="none" w:sz="0" w:space="0" w:color="auto"/>
                <w:left w:val="none" w:sz="0" w:space="0" w:color="auto"/>
                <w:bottom w:val="none" w:sz="0" w:space="0" w:color="auto"/>
                <w:right w:val="none" w:sz="0" w:space="0" w:color="auto"/>
              </w:divBdr>
            </w:div>
          </w:divsChild>
        </w:div>
        <w:div w:id="296834342">
          <w:marLeft w:val="0"/>
          <w:marRight w:val="0"/>
          <w:marTop w:val="0"/>
          <w:marBottom w:val="0"/>
          <w:divBdr>
            <w:top w:val="none" w:sz="0" w:space="0" w:color="auto"/>
            <w:left w:val="none" w:sz="0" w:space="0" w:color="auto"/>
            <w:bottom w:val="none" w:sz="0" w:space="0" w:color="auto"/>
            <w:right w:val="none" w:sz="0" w:space="0" w:color="auto"/>
          </w:divBdr>
          <w:divsChild>
            <w:div w:id="661006712">
              <w:marLeft w:val="0"/>
              <w:marRight w:val="0"/>
              <w:marTop w:val="0"/>
              <w:marBottom w:val="0"/>
              <w:divBdr>
                <w:top w:val="none" w:sz="0" w:space="0" w:color="auto"/>
                <w:left w:val="none" w:sz="0" w:space="0" w:color="auto"/>
                <w:bottom w:val="none" w:sz="0" w:space="0" w:color="auto"/>
                <w:right w:val="none" w:sz="0" w:space="0" w:color="auto"/>
              </w:divBdr>
            </w:div>
            <w:div w:id="1647276207">
              <w:marLeft w:val="0"/>
              <w:marRight w:val="0"/>
              <w:marTop w:val="0"/>
              <w:marBottom w:val="0"/>
              <w:divBdr>
                <w:top w:val="none" w:sz="0" w:space="0" w:color="auto"/>
                <w:left w:val="none" w:sz="0" w:space="0" w:color="auto"/>
                <w:bottom w:val="none" w:sz="0" w:space="0" w:color="auto"/>
                <w:right w:val="none" w:sz="0" w:space="0" w:color="auto"/>
              </w:divBdr>
            </w:div>
          </w:divsChild>
        </w:div>
        <w:div w:id="396437826">
          <w:marLeft w:val="0"/>
          <w:marRight w:val="0"/>
          <w:marTop w:val="0"/>
          <w:marBottom w:val="0"/>
          <w:divBdr>
            <w:top w:val="none" w:sz="0" w:space="0" w:color="auto"/>
            <w:left w:val="none" w:sz="0" w:space="0" w:color="auto"/>
            <w:bottom w:val="none" w:sz="0" w:space="0" w:color="auto"/>
            <w:right w:val="none" w:sz="0" w:space="0" w:color="auto"/>
          </w:divBdr>
          <w:divsChild>
            <w:div w:id="1812818822">
              <w:marLeft w:val="0"/>
              <w:marRight w:val="0"/>
              <w:marTop w:val="0"/>
              <w:marBottom w:val="0"/>
              <w:divBdr>
                <w:top w:val="none" w:sz="0" w:space="0" w:color="auto"/>
                <w:left w:val="none" w:sz="0" w:space="0" w:color="auto"/>
                <w:bottom w:val="none" w:sz="0" w:space="0" w:color="auto"/>
                <w:right w:val="none" w:sz="0" w:space="0" w:color="auto"/>
              </w:divBdr>
            </w:div>
          </w:divsChild>
        </w:div>
        <w:div w:id="419256980">
          <w:marLeft w:val="0"/>
          <w:marRight w:val="0"/>
          <w:marTop w:val="0"/>
          <w:marBottom w:val="0"/>
          <w:divBdr>
            <w:top w:val="none" w:sz="0" w:space="0" w:color="auto"/>
            <w:left w:val="none" w:sz="0" w:space="0" w:color="auto"/>
            <w:bottom w:val="none" w:sz="0" w:space="0" w:color="auto"/>
            <w:right w:val="none" w:sz="0" w:space="0" w:color="auto"/>
          </w:divBdr>
          <w:divsChild>
            <w:div w:id="610624031">
              <w:marLeft w:val="0"/>
              <w:marRight w:val="0"/>
              <w:marTop w:val="0"/>
              <w:marBottom w:val="0"/>
              <w:divBdr>
                <w:top w:val="none" w:sz="0" w:space="0" w:color="auto"/>
                <w:left w:val="none" w:sz="0" w:space="0" w:color="auto"/>
                <w:bottom w:val="none" w:sz="0" w:space="0" w:color="auto"/>
                <w:right w:val="none" w:sz="0" w:space="0" w:color="auto"/>
              </w:divBdr>
            </w:div>
            <w:div w:id="1268195234">
              <w:marLeft w:val="0"/>
              <w:marRight w:val="0"/>
              <w:marTop w:val="0"/>
              <w:marBottom w:val="0"/>
              <w:divBdr>
                <w:top w:val="none" w:sz="0" w:space="0" w:color="auto"/>
                <w:left w:val="none" w:sz="0" w:space="0" w:color="auto"/>
                <w:bottom w:val="none" w:sz="0" w:space="0" w:color="auto"/>
                <w:right w:val="none" w:sz="0" w:space="0" w:color="auto"/>
              </w:divBdr>
            </w:div>
            <w:div w:id="1841192167">
              <w:marLeft w:val="0"/>
              <w:marRight w:val="0"/>
              <w:marTop w:val="0"/>
              <w:marBottom w:val="0"/>
              <w:divBdr>
                <w:top w:val="none" w:sz="0" w:space="0" w:color="auto"/>
                <w:left w:val="none" w:sz="0" w:space="0" w:color="auto"/>
                <w:bottom w:val="none" w:sz="0" w:space="0" w:color="auto"/>
                <w:right w:val="none" w:sz="0" w:space="0" w:color="auto"/>
              </w:divBdr>
            </w:div>
          </w:divsChild>
        </w:div>
        <w:div w:id="521095091">
          <w:marLeft w:val="0"/>
          <w:marRight w:val="0"/>
          <w:marTop w:val="0"/>
          <w:marBottom w:val="0"/>
          <w:divBdr>
            <w:top w:val="none" w:sz="0" w:space="0" w:color="auto"/>
            <w:left w:val="none" w:sz="0" w:space="0" w:color="auto"/>
            <w:bottom w:val="none" w:sz="0" w:space="0" w:color="auto"/>
            <w:right w:val="none" w:sz="0" w:space="0" w:color="auto"/>
          </w:divBdr>
          <w:divsChild>
            <w:div w:id="866678155">
              <w:marLeft w:val="0"/>
              <w:marRight w:val="0"/>
              <w:marTop w:val="0"/>
              <w:marBottom w:val="0"/>
              <w:divBdr>
                <w:top w:val="none" w:sz="0" w:space="0" w:color="auto"/>
                <w:left w:val="none" w:sz="0" w:space="0" w:color="auto"/>
                <w:bottom w:val="none" w:sz="0" w:space="0" w:color="auto"/>
                <w:right w:val="none" w:sz="0" w:space="0" w:color="auto"/>
              </w:divBdr>
            </w:div>
            <w:div w:id="1206604386">
              <w:marLeft w:val="0"/>
              <w:marRight w:val="0"/>
              <w:marTop w:val="0"/>
              <w:marBottom w:val="0"/>
              <w:divBdr>
                <w:top w:val="none" w:sz="0" w:space="0" w:color="auto"/>
                <w:left w:val="none" w:sz="0" w:space="0" w:color="auto"/>
                <w:bottom w:val="none" w:sz="0" w:space="0" w:color="auto"/>
                <w:right w:val="none" w:sz="0" w:space="0" w:color="auto"/>
              </w:divBdr>
            </w:div>
            <w:div w:id="1352024697">
              <w:marLeft w:val="0"/>
              <w:marRight w:val="0"/>
              <w:marTop w:val="0"/>
              <w:marBottom w:val="0"/>
              <w:divBdr>
                <w:top w:val="none" w:sz="0" w:space="0" w:color="auto"/>
                <w:left w:val="none" w:sz="0" w:space="0" w:color="auto"/>
                <w:bottom w:val="none" w:sz="0" w:space="0" w:color="auto"/>
                <w:right w:val="none" w:sz="0" w:space="0" w:color="auto"/>
              </w:divBdr>
            </w:div>
            <w:div w:id="1466583804">
              <w:marLeft w:val="0"/>
              <w:marRight w:val="0"/>
              <w:marTop w:val="0"/>
              <w:marBottom w:val="0"/>
              <w:divBdr>
                <w:top w:val="none" w:sz="0" w:space="0" w:color="auto"/>
                <w:left w:val="none" w:sz="0" w:space="0" w:color="auto"/>
                <w:bottom w:val="none" w:sz="0" w:space="0" w:color="auto"/>
                <w:right w:val="none" w:sz="0" w:space="0" w:color="auto"/>
              </w:divBdr>
            </w:div>
          </w:divsChild>
        </w:div>
        <w:div w:id="609554941">
          <w:marLeft w:val="0"/>
          <w:marRight w:val="0"/>
          <w:marTop w:val="0"/>
          <w:marBottom w:val="0"/>
          <w:divBdr>
            <w:top w:val="none" w:sz="0" w:space="0" w:color="auto"/>
            <w:left w:val="none" w:sz="0" w:space="0" w:color="auto"/>
            <w:bottom w:val="none" w:sz="0" w:space="0" w:color="auto"/>
            <w:right w:val="none" w:sz="0" w:space="0" w:color="auto"/>
          </w:divBdr>
          <w:divsChild>
            <w:div w:id="270017582">
              <w:marLeft w:val="0"/>
              <w:marRight w:val="0"/>
              <w:marTop w:val="0"/>
              <w:marBottom w:val="0"/>
              <w:divBdr>
                <w:top w:val="none" w:sz="0" w:space="0" w:color="auto"/>
                <w:left w:val="none" w:sz="0" w:space="0" w:color="auto"/>
                <w:bottom w:val="none" w:sz="0" w:space="0" w:color="auto"/>
                <w:right w:val="none" w:sz="0" w:space="0" w:color="auto"/>
              </w:divBdr>
            </w:div>
            <w:div w:id="502860387">
              <w:marLeft w:val="0"/>
              <w:marRight w:val="0"/>
              <w:marTop w:val="0"/>
              <w:marBottom w:val="0"/>
              <w:divBdr>
                <w:top w:val="none" w:sz="0" w:space="0" w:color="auto"/>
                <w:left w:val="none" w:sz="0" w:space="0" w:color="auto"/>
                <w:bottom w:val="none" w:sz="0" w:space="0" w:color="auto"/>
                <w:right w:val="none" w:sz="0" w:space="0" w:color="auto"/>
              </w:divBdr>
            </w:div>
            <w:div w:id="2003776410">
              <w:marLeft w:val="0"/>
              <w:marRight w:val="0"/>
              <w:marTop w:val="0"/>
              <w:marBottom w:val="0"/>
              <w:divBdr>
                <w:top w:val="none" w:sz="0" w:space="0" w:color="auto"/>
                <w:left w:val="none" w:sz="0" w:space="0" w:color="auto"/>
                <w:bottom w:val="none" w:sz="0" w:space="0" w:color="auto"/>
                <w:right w:val="none" w:sz="0" w:space="0" w:color="auto"/>
              </w:divBdr>
            </w:div>
            <w:div w:id="2145812319">
              <w:marLeft w:val="0"/>
              <w:marRight w:val="0"/>
              <w:marTop w:val="0"/>
              <w:marBottom w:val="0"/>
              <w:divBdr>
                <w:top w:val="none" w:sz="0" w:space="0" w:color="auto"/>
                <w:left w:val="none" w:sz="0" w:space="0" w:color="auto"/>
                <w:bottom w:val="none" w:sz="0" w:space="0" w:color="auto"/>
                <w:right w:val="none" w:sz="0" w:space="0" w:color="auto"/>
              </w:divBdr>
            </w:div>
          </w:divsChild>
        </w:div>
        <w:div w:id="649553343">
          <w:marLeft w:val="0"/>
          <w:marRight w:val="0"/>
          <w:marTop w:val="0"/>
          <w:marBottom w:val="0"/>
          <w:divBdr>
            <w:top w:val="none" w:sz="0" w:space="0" w:color="auto"/>
            <w:left w:val="none" w:sz="0" w:space="0" w:color="auto"/>
            <w:bottom w:val="none" w:sz="0" w:space="0" w:color="auto"/>
            <w:right w:val="none" w:sz="0" w:space="0" w:color="auto"/>
          </w:divBdr>
          <w:divsChild>
            <w:div w:id="462695247">
              <w:marLeft w:val="0"/>
              <w:marRight w:val="0"/>
              <w:marTop w:val="0"/>
              <w:marBottom w:val="0"/>
              <w:divBdr>
                <w:top w:val="none" w:sz="0" w:space="0" w:color="auto"/>
                <w:left w:val="none" w:sz="0" w:space="0" w:color="auto"/>
                <w:bottom w:val="none" w:sz="0" w:space="0" w:color="auto"/>
                <w:right w:val="none" w:sz="0" w:space="0" w:color="auto"/>
              </w:divBdr>
            </w:div>
            <w:div w:id="804616372">
              <w:marLeft w:val="0"/>
              <w:marRight w:val="0"/>
              <w:marTop w:val="0"/>
              <w:marBottom w:val="0"/>
              <w:divBdr>
                <w:top w:val="none" w:sz="0" w:space="0" w:color="auto"/>
                <w:left w:val="none" w:sz="0" w:space="0" w:color="auto"/>
                <w:bottom w:val="none" w:sz="0" w:space="0" w:color="auto"/>
                <w:right w:val="none" w:sz="0" w:space="0" w:color="auto"/>
              </w:divBdr>
            </w:div>
            <w:div w:id="1786999073">
              <w:marLeft w:val="0"/>
              <w:marRight w:val="0"/>
              <w:marTop w:val="0"/>
              <w:marBottom w:val="0"/>
              <w:divBdr>
                <w:top w:val="none" w:sz="0" w:space="0" w:color="auto"/>
                <w:left w:val="none" w:sz="0" w:space="0" w:color="auto"/>
                <w:bottom w:val="none" w:sz="0" w:space="0" w:color="auto"/>
                <w:right w:val="none" w:sz="0" w:space="0" w:color="auto"/>
              </w:divBdr>
            </w:div>
            <w:div w:id="2128086424">
              <w:marLeft w:val="0"/>
              <w:marRight w:val="0"/>
              <w:marTop w:val="0"/>
              <w:marBottom w:val="0"/>
              <w:divBdr>
                <w:top w:val="none" w:sz="0" w:space="0" w:color="auto"/>
                <w:left w:val="none" w:sz="0" w:space="0" w:color="auto"/>
                <w:bottom w:val="none" w:sz="0" w:space="0" w:color="auto"/>
                <w:right w:val="none" w:sz="0" w:space="0" w:color="auto"/>
              </w:divBdr>
            </w:div>
          </w:divsChild>
        </w:div>
        <w:div w:id="712265179">
          <w:marLeft w:val="0"/>
          <w:marRight w:val="0"/>
          <w:marTop w:val="0"/>
          <w:marBottom w:val="0"/>
          <w:divBdr>
            <w:top w:val="none" w:sz="0" w:space="0" w:color="auto"/>
            <w:left w:val="none" w:sz="0" w:space="0" w:color="auto"/>
            <w:bottom w:val="none" w:sz="0" w:space="0" w:color="auto"/>
            <w:right w:val="none" w:sz="0" w:space="0" w:color="auto"/>
          </w:divBdr>
          <w:divsChild>
            <w:div w:id="186717116">
              <w:marLeft w:val="0"/>
              <w:marRight w:val="0"/>
              <w:marTop w:val="0"/>
              <w:marBottom w:val="0"/>
              <w:divBdr>
                <w:top w:val="none" w:sz="0" w:space="0" w:color="auto"/>
                <w:left w:val="none" w:sz="0" w:space="0" w:color="auto"/>
                <w:bottom w:val="none" w:sz="0" w:space="0" w:color="auto"/>
                <w:right w:val="none" w:sz="0" w:space="0" w:color="auto"/>
              </w:divBdr>
            </w:div>
            <w:div w:id="838546623">
              <w:marLeft w:val="0"/>
              <w:marRight w:val="0"/>
              <w:marTop w:val="0"/>
              <w:marBottom w:val="0"/>
              <w:divBdr>
                <w:top w:val="none" w:sz="0" w:space="0" w:color="auto"/>
                <w:left w:val="none" w:sz="0" w:space="0" w:color="auto"/>
                <w:bottom w:val="none" w:sz="0" w:space="0" w:color="auto"/>
                <w:right w:val="none" w:sz="0" w:space="0" w:color="auto"/>
              </w:divBdr>
            </w:div>
            <w:div w:id="1623537505">
              <w:marLeft w:val="0"/>
              <w:marRight w:val="0"/>
              <w:marTop w:val="0"/>
              <w:marBottom w:val="0"/>
              <w:divBdr>
                <w:top w:val="none" w:sz="0" w:space="0" w:color="auto"/>
                <w:left w:val="none" w:sz="0" w:space="0" w:color="auto"/>
                <w:bottom w:val="none" w:sz="0" w:space="0" w:color="auto"/>
                <w:right w:val="none" w:sz="0" w:space="0" w:color="auto"/>
              </w:divBdr>
            </w:div>
          </w:divsChild>
        </w:div>
        <w:div w:id="794955213">
          <w:marLeft w:val="0"/>
          <w:marRight w:val="0"/>
          <w:marTop w:val="0"/>
          <w:marBottom w:val="0"/>
          <w:divBdr>
            <w:top w:val="none" w:sz="0" w:space="0" w:color="auto"/>
            <w:left w:val="none" w:sz="0" w:space="0" w:color="auto"/>
            <w:bottom w:val="none" w:sz="0" w:space="0" w:color="auto"/>
            <w:right w:val="none" w:sz="0" w:space="0" w:color="auto"/>
          </w:divBdr>
          <w:divsChild>
            <w:div w:id="483200189">
              <w:marLeft w:val="0"/>
              <w:marRight w:val="0"/>
              <w:marTop w:val="0"/>
              <w:marBottom w:val="0"/>
              <w:divBdr>
                <w:top w:val="none" w:sz="0" w:space="0" w:color="auto"/>
                <w:left w:val="none" w:sz="0" w:space="0" w:color="auto"/>
                <w:bottom w:val="none" w:sz="0" w:space="0" w:color="auto"/>
                <w:right w:val="none" w:sz="0" w:space="0" w:color="auto"/>
              </w:divBdr>
            </w:div>
          </w:divsChild>
        </w:div>
        <w:div w:id="959339000">
          <w:marLeft w:val="0"/>
          <w:marRight w:val="0"/>
          <w:marTop w:val="0"/>
          <w:marBottom w:val="0"/>
          <w:divBdr>
            <w:top w:val="none" w:sz="0" w:space="0" w:color="auto"/>
            <w:left w:val="none" w:sz="0" w:space="0" w:color="auto"/>
            <w:bottom w:val="none" w:sz="0" w:space="0" w:color="auto"/>
            <w:right w:val="none" w:sz="0" w:space="0" w:color="auto"/>
          </w:divBdr>
          <w:divsChild>
            <w:div w:id="580217274">
              <w:marLeft w:val="0"/>
              <w:marRight w:val="0"/>
              <w:marTop w:val="0"/>
              <w:marBottom w:val="0"/>
              <w:divBdr>
                <w:top w:val="none" w:sz="0" w:space="0" w:color="auto"/>
                <w:left w:val="none" w:sz="0" w:space="0" w:color="auto"/>
                <w:bottom w:val="none" w:sz="0" w:space="0" w:color="auto"/>
                <w:right w:val="none" w:sz="0" w:space="0" w:color="auto"/>
              </w:divBdr>
            </w:div>
            <w:div w:id="1337030352">
              <w:marLeft w:val="0"/>
              <w:marRight w:val="0"/>
              <w:marTop w:val="0"/>
              <w:marBottom w:val="0"/>
              <w:divBdr>
                <w:top w:val="none" w:sz="0" w:space="0" w:color="auto"/>
                <w:left w:val="none" w:sz="0" w:space="0" w:color="auto"/>
                <w:bottom w:val="none" w:sz="0" w:space="0" w:color="auto"/>
                <w:right w:val="none" w:sz="0" w:space="0" w:color="auto"/>
              </w:divBdr>
            </w:div>
            <w:div w:id="1512991711">
              <w:marLeft w:val="0"/>
              <w:marRight w:val="0"/>
              <w:marTop w:val="0"/>
              <w:marBottom w:val="0"/>
              <w:divBdr>
                <w:top w:val="none" w:sz="0" w:space="0" w:color="auto"/>
                <w:left w:val="none" w:sz="0" w:space="0" w:color="auto"/>
                <w:bottom w:val="none" w:sz="0" w:space="0" w:color="auto"/>
                <w:right w:val="none" w:sz="0" w:space="0" w:color="auto"/>
              </w:divBdr>
            </w:div>
            <w:div w:id="2016614803">
              <w:marLeft w:val="0"/>
              <w:marRight w:val="0"/>
              <w:marTop w:val="0"/>
              <w:marBottom w:val="0"/>
              <w:divBdr>
                <w:top w:val="none" w:sz="0" w:space="0" w:color="auto"/>
                <w:left w:val="none" w:sz="0" w:space="0" w:color="auto"/>
                <w:bottom w:val="none" w:sz="0" w:space="0" w:color="auto"/>
                <w:right w:val="none" w:sz="0" w:space="0" w:color="auto"/>
              </w:divBdr>
            </w:div>
          </w:divsChild>
        </w:div>
        <w:div w:id="1031683796">
          <w:marLeft w:val="0"/>
          <w:marRight w:val="0"/>
          <w:marTop w:val="0"/>
          <w:marBottom w:val="0"/>
          <w:divBdr>
            <w:top w:val="none" w:sz="0" w:space="0" w:color="auto"/>
            <w:left w:val="none" w:sz="0" w:space="0" w:color="auto"/>
            <w:bottom w:val="none" w:sz="0" w:space="0" w:color="auto"/>
            <w:right w:val="none" w:sz="0" w:space="0" w:color="auto"/>
          </w:divBdr>
          <w:divsChild>
            <w:div w:id="456797941">
              <w:marLeft w:val="0"/>
              <w:marRight w:val="0"/>
              <w:marTop w:val="0"/>
              <w:marBottom w:val="0"/>
              <w:divBdr>
                <w:top w:val="none" w:sz="0" w:space="0" w:color="auto"/>
                <w:left w:val="none" w:sz="0" w:space="0" w:color="auto"/>
                <w:bottom w:val="none" w:sz="0" w:space="0" w:color="auto"/>
                <w:right w:val="none" w:sz="0" w:space="0" w:color="auto"/>
              </w:divBdr>
            </w:div>
            <w:div w:id="585117290">
              <w:marLeft w:val="0"/>
              <w:marRight w:val="0"/>
              <w:marTop w:val="0"/>
              <w:marBottom w:val="0"/>
              <w:divBdr>
                <w:top w:val="none" w:sz="0" w:space="0" w:color="auto"/>
                <w:left w:val="none" w:sz="0" w:space="0" w:color="auto"/>
                <w:bottom w:val="none" w:sz="0" w:space="0" w:color="auto"/>
                <w:right w:val="none" w:sz="0" w:space="0" w:color="auto"/>
              </w:divBdr>
            </w:div>
            <w:div w:id="1366977327">
              <w:marLeft w:val="0"/>
              <w:marRight w:val="0"/>
              <w:marTop w:val="0"/>
              <w:marBottom w:val="0"/>
              <w:divBdr>
                <w:top w:val="none" w:sz="0" w:space="0" w:color="auto"/>
                <w:left w:val="none" w:sz="0" w:space="0" w:color="auto"/>
                <w:bottom w:val="none" w:sz="0" w:space="0" w:color="auto"/>
                <w:right w:val="none" w:sz="0" w:space="0" w:color="auto"/>
              </w:divBdr>
            </w:div>
          </w:divsChild>
        </w:div>
        <w:div w:id="1065448011">
          <w:marLeft w:val="0"/>
          <w:marRight w:val="0"/>
          <w:marTop w:val="0"/>
          <w:marBottom w:val="0"/>
          <w:divBdr>
            <w:top w:val="none" w:sz="0" w:space="0" w:color="auto"/>
            <w:left w:val="none" w:sz="0" w:space="0" w:color="auto"/>
            <w:bottom w:val="none" w:sz="0" w:space="0" w:color="auto"/>
            <w:right w:val="none" w:sz="0" w:space="0" w:color="auto"/>
          </w:divBdr>
          <w:divsChild>
            <w:div w:id="1548833936">
              <w:marLeft w:val="0"/>
              <w:marRight w:val="0"/>
              <w:marTop w:val="0"/>
              <w:marBottom w:val="0"/>
              <w:divBdr>
                <w:top w:val="none" w:sz="0" w:space="0" w:color="auto"/>
                <w:left w:val="none" w:sz="0" w:space="0" w:color="auto"/>
                <w:bottom w:val="none" w:sz="0" w:space="0" w:color="auto"/>
                <w:right w:val="none" w:sz="0" w:space="0" w:color="auto"/>
              </w:divBdr>
            </w:div>
          </w:divsChild>
        </w:div>
        <w:div w:id="1098217832">
          <w:marLeft w:val="0"/>
          <w:marRight w:val="0"/>
          <w:marTop w:val="0"/>
          <w:marBottom w:val="0"/>
          <w:divBdr>
            <w:top w:val="none" w:sz="0" w:space="0" w:color="auto"/>
            <w:left w:val="none" w:sz="0" w:space="0" w:color="auto"/>
            <w:bottom w:val="none" w:sz="0" w:space="0" w:color="auto"/>
            <w:right w:val="none" w:sz="0" w:space="0" w:color="auto"/>
          </w:divBdr>
          <w:divsChild>
            <w:div w:id="157625302">
              <w:marLeft w:val="0"/>
              <w:marRight w:val="0"/>
              <w:marTop w:val="0"/>
              <w:marBottom w:val="0"/>
              <w:divBdr>
                <w:top w:val="none" w:sz="0" w:space="0" w:color="auto"/>
                <w:left w:val="none" w:sz="0" w:space="0" w:color="auto"/>
                <w:bottom w:val="none" w:sz="0" w:space="0" w:color="auto"/>
                <w:right w:val="none" w:sz="0" w:space="0" w:color="auto"/>
              </w:divBdr>
            </w:div>
            <w:div w:id="299700352">
              <w:marLeft w:val="0"/>
              <w:marRight w:val="0"/>
              <w:marTop w:val="0"/>
              <w:marBottom w:val="0"/>
              <w:divBdr>
                <w:top w:val="none" w:sz="0" w:space="0" w:color="auto"/>
                <w:left w:val="none" w:sz="0" w:space="0" w:color="auto"/>
                <w:bottom w:val="none" w:sz="0" w:space="0" w:color="auto"/>
                <w:right w:val="none" w:sz="0" w:space="0" w:color="auto"/>
              </w:divBdr>
            </w:div>
            <w:div w:id="1268194166">
              <w:marLeft w:val="0"/>
              <w:marRight w:val="0"/>
              <w:marTop w:val="0"/>
              <w:marBottom w:val="0"/>
              <w:divBdr>
                <w:top w:val="none" w:sz="0" w:space="0" w:color="auto"/>
                <w:left w:val="none" w:sz="0" w:space="0" w:color="auto"/>
                <w:bottom w:val="none" w:sz="0" w:space="0" w:color="auto"/>
                <w:right w:val="none" w:sz="0" w:space="0" w:color="auto"/>
              </w:divBdr>
            </w:div>
            <w:div w:id="1892573773">
              <w:marLeft w:val="0"/>
              <w:marRight w:val="0"/>
              <w:marTop w:val="0"/>
              <w:marBottom w:val="0"/>
              <w:divBdr>
                <w:top w:val="none" w:sz="0" w:space="0" w:color="auto"/>
                <w:left w:val="none" w:sz="0" w:space="0" w:color="auto"/>
                <w:bottom w:val="none" w:sz="0" w:space="0" w:color="auto"/>
                <w:right w:val="none" w:sz="0" w:space="0" w:color="auto"/>
              </w:divBdr>
            </w:div>
          </w:divsChild>
        </w:div>
        <w:div w:id="1152067973">
          <w:marLeft w:val="0"/>
          <w:marRight w:val="0"/>
          <w:marTop w:val="0"/>
          <w:marBottom w:val="0"/>
          <w:divBdr>
            <w:top w:val="none" w:sz="0" w:space="0" w:color="auto"/>
            <w:left w:val="none" w:sz="0" w:space="0" w:color="auto"/>
            <w:bottom w:val="none" w:sz="0" w:space="0" w:color="auto"/>
            <w:right w:val="none" w:sz="0" w:space="0" w:color="auto"/>
          </w:divBdr>
          <w:divsChild>
            <w:div w:id="1206720325">
              <w:marLeft w:val="0"/>
              <w:marRight w:val="0"/>
              <w:marTop w:val="0"/>
              <w:marBottom w:val="0"/>
              <w:divBdr>
                <w:top w:val="none" w:sz="0" w:space="0" w:color="auto"/>
                <w:left w:val="none" w:sz="0" w:space="0" w:color="auto"/>
                <w:bottom w:val="none" w:sz="0" w:space="0" w:color="auto"/>
                <w:right w:val="none" w:sz="0" w:space="0" w:color="auto"/>
              </w:divBdr>
            </w:div>
          </w:divsChild>
        </w:div>
        <w:div w:id="1581525607">
          <w:marLeft w:val="0"/>
          <w:marRight w:val="0"/>
          <w:marTop w:val="0"/>
          <w:marBottom w:val="0"/>
          <w:divBdr>
            <w:top w:val="none" w:sz="0" w:space="0" w:color="auto"/>
            <w:left w:val="none" w:sz="0" w:space="0" w:color="auto"/>
            <w:bottom w:val="none" w:sz="0" w:space="0" w:color="auto"/>
            <w:right w:val="none" w:sz="0" w:space="0" w:color="auto"/>
          </w:divBdr>
          <w:divsChild>
            <w:div w:id="1095591312">
              <w:marLeft w:val="0"/>
              <w:marRight w:val="0"/>
              <w:marTop w:val="0"/>
              <w:marBottom w:val="0"/>
              <w:divBdr>
                <w:top w:val="none" w:sz="0" w:space="0" w:color="auto"/>
                <w:left w:val="none" w:sz="0" w:space="0" w:color="auto"/>
                <w:bottom w:val="none" w:sz="0" w:space="0" w:color="auto"/>
                <w:right w:val="none" w:sz="0" w:space="0" w:color="auto"/>
              </w:divBdr>
            </w:div>
          </w:divsChild>
        </w:div>
        <w:div w:id="1933470683">
          <w:marLeft w:val="0"/>
          <w:marRight w:val="0"/>
          <w:marTop w:val="0"/>
          <w:marBottom w:val="0"/>
          <w:divBdr>
            <w:top w:val="none" w:sz="0" w:space="0" w:color="auto"/>
            <w:left w:val="none" w:sz="0" w:space="0" w:color="auto"/>
            <w:bottom w:val="none" w:sz="0" w:space="0" w:color="auto"/>
            <w:right w:val="none" w:sz="0" w:space="0" w:color="auto"/>
          </w:divBdr>
          <w:divsChild>
            <w:div w:id="177886544">
              <w:marLeft w:val="0"/>
              <w:marRight w:val="0"/>
              <w:marTop w:val="0"/>
              <w:marBottom w:val="0"/>
              <w:divBdr>
                <w:top w:val="none" w:sz="0" w:space="0" w:color="auto"/>
                <w:left w:val="none" w:sz="0" w:space="0" w:color="auto"/>
                <w:bottom w:val="none" w:sz="0" w:space="0" w:color="auto"/>
                <w:right w:val="none" w:sz="0" w:space="0" w:color="auto"/>
              </w:divBdr>
            </w:div>
            <w:div w:id="1566993198">
              <w:marLeft w:val="0"/>
              <w:marRight w:val="0"/>
              <w:marTop w:val="0"/>
              <w:marBottom w:val="0"/>
              <w:divBdr>
                <w:top w:val="none" w:sz="0" w:space="0" w:color="auto"/>
                <w:left w:val="none" w:sz="0" w:space="0" w:color="auto"/>
                <w:bottom w:val="none" w:sz="0" w:space="0" w:color="auto"/>
                <w:right w:val="none" w:sz="0" w:space="0" w:color="auto"/>
              </w:divBdr>
            </w:div>
            <w:div w:id="1951931961">
              <w:marLeft w:val="0"/>
              <w:marRight w:val="0"/>
              <w:marTop w:val="0"/>
              <w:marBottom w:val="0"/>
              <w:divBdr>
                <w:top w:val="none" w:sz="0" w:space="0" w:color="auto"/>
                <w:left w:val="none" w:sz="0" w:space="0" w:color="auto"/>
                <w:bottom w:val="none" w:sz="0" w:space="0" w:color="auto"/>
                <w:right w:val="none" w:sz="0" w:space="0" w:color="auto"/>
              </w:divBdr>
            </w:div>
          </w:divsChild>
        </w:div>
        <w:div w:id="2018652546">
          <w:marLeft w:val="0"/>
          <w:marRight w:val="0"/>
          <w:marTop w:val="0"/>
          <w:marBottom w:val="0"/>
          <w:divBdr>
            <w:top w:val="none" w:sz="0" w:space="0" w:color="auto"/>
            <w:left w:val="none" w:sz="0" w:space="0" w:color="auto"/>
            <w:bottom w:val="none" w:sz="0" w:space="0" w:color="auto"/>
            <w:right w:val="none" w:sz="0" w:space="0" w:color="auto"/>
          </w:divBdr>
          <w:divsChild>
            <w:div w:id="1918782255">
              <w:marLeft w:val="0"/>
              <w:marRight w:val="0"/>
              <w:marTop w:val="0"/>
              <w:marBottom w:val="0"/>
              <w:divBdr>
                <w:top w:val="none" w:sz="0" w:space="0" w:color="auto"/>
                <w:left w:val="none" w:sz="0" w:space="0" w:color="auto"/>
                <w:bottom w:val="none" w:sz="0" w:space="0" w:color="auto"/>
                <w:right w:val="none" w:sz="0" w:space="0" w:color="auto"/>
              </w:divBdr>
            </w:div>
            <w:div w:id="2102986146">
              <w:marLeft w:val="0"/>
              <w:marRight w:val="0"/>
              <w:marTop w:val="0"/>
              <w:marBottom w:val="0"/>
              <w:divBdr>
                <w:top w:val="none" w:sz="0" w:space="0" w:color="auto"/>
                <w:left w:val="none" w:sz="0" w:space="0" w:color="auto"/>
                <w:bottom w:val="none" w:sz="0" w:space="0" w:color="auto"/>
                <w:right w:val="none" w:sz="0" w:space="0" w:color="auto"/>
              </w:divBdr>
            </w:div>
          </w:divsChild>
        </w:div>
        <w:div w:id="2026636907">
          <w:marLeft w:val="0"/>
          <w:marRight w:val="0"/>
          <w:marTop w:val="0"/>
          <w:marBottom w:val="0"/>
          <w:divBdr>
            <w:top w:val="none" w:sz="0" w:space="0" w:color="auto"/>
            <w:left w:val="none" w:sz="0" w:space="0" w:color="auto"/>
            <w:bottom w:val="none" w:sz="0" w:space="0" w:color="auto"/>
            <w:right w:val="none" w:sz="0" w:space="0" w:color="auto"/>
          </w:divBdr>
          <w:divsChild>
            <w:div w:id="251934210">
              <w:marLeft w:val="0"/>
              <w:marRight w:val="0"/>
              <w:marTop w:val="0"/>
              <w:marBottom w:val="0"/>
              <w:divBdr>
                <w:top w:val="none" w:sz="0" w:space="0" w:color="auto"/>
                <w:left w:val="none" w:sz="0" w:space="0" w:color="auto"/>
                <w:bottom w:val="none" w:sz="0" w:space="0" w:color="auto"/>
                <w:right w:val="none" w:sz="0" w:space="0" w:color="auto"/>
              </w:divBdr>
            </w:div>
            <w:div w:id="284235190">
              <w:marLeft w:val="0"/>
              <w:marRight w:val="0"/>
              <w:marTop w:val="0"/>
              <w:marBottom w:val="0"/>
              <w:divBdr>
                <w:top w:val="none" w:sz="0" w:space="0" w:color="auto"/>
                <w:left w:val="none" w:sz="0" w:space="0" w:color="auto"/>
                <w:bottom w:val="none" w:sz="0" w:space="0" w:color="auto"/>
                <w:right w:val="none" w:sz="0" w:space="0" w:color="auto"/>
              </w:divBdr>
            </w:div>
            <w:div w:id="18318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404">
      <w:bodyDiv w:val="1"/>
      <w:marLeft w:val="0"/>
      <w:marRight w:val="0"/>
      <w:marTop w:val="0"/>
      <w:marBottom w:val="0"/>
      <w:divBdr>
        <w:top w:val="none" w:sz="0" w:space="0" w:color="auto"/>
        <w:left w:val="none" w:sz="0" w:space="0" w:color="auto"/>
        <w:bottom w:val="none" w:sz="0" w:space="0" w:color="auto"/>
        <w:right w:val="none" w:sz="0" w:space="0" w:color="auto"/>
      </w:divBdr>
    </w:div>
    <w:div w:id="89619297">
      <w:bodyDiv w:val="1"/>
      <w:marLeft w:val="0"/>
      <w:marRight w:val="0"/>
      <w:marTop w:val="0"/>
      <w:marBottom w:val="0"/>
      <w:divBdr>
        <w:top w:val="none" w:sz="0" w:space="0" w:color="auto"/>
        <w:left w:val="none" w:sz="0" w:space="0" w:color="auto"/>
        <w:bottom w:val="none" w:sz="0" w:space="0" w:color="auto"/>
        <w:right w:val="none" w:sz="0" w:space="0" w:color="auto"/>
      </w:divBdr>
    </w:div>
    <w:div w:id="142045749">
      <w:bodyDiv w:val="1"/>
      <w:marLeft w:val="0"/>
      <w:marRight w:val="0"/>
      <w:marTop w:val="0"/>
      <w:marBottom w:val="0"/>
      <w:divBdr>
        <w:top w:val="none" w:sz="0" w:space="0" w:color="auto"/>
        <w:left w:val="none" w:sz="0" w:space="0" w:color="auto"/>
        <w:bottom w:val="none" w:sz="0" w:space="0" w:color="auto"/>
        <w:right w:val="none" w:sz="0" w:space="0" w:color="auto"/>
      </w:divBdr>
    </w:div>
    <w:div w:id="252787239">
      <w:bodyDiv w:val="1"/>
      <w:marLeft w:val="0"/>
      <w:marRight w:val="0"/>
      <w:marTop w:val="0"/>
      <w:marBottom w:val="0"/>
      <w:divBdr>
        <w:top w:val="none" w:sz="0" w:space="0" w:color="auto"/>
        <w:left w:val="none" w:sz="0" w:space="0" w:color="auto"/>
        <w:bottom w:val="none" w:sz="0" w:space="0" w:color="auto"/>
        <w:right w:val="none" w:sz="0" w:space="0" w:color="auto"/>
      </w:divBdr>
    </w:div>
    <w:div w:id="408121391">
      <w:bodyDiv w:val="1"/>
      <w:marLeft w:val="0"/>
      <w:marRight w:val="0"/>
      <w:marTop w:val="0"/>
      <w:marBottom w:val="0"/>
      <w:divBdr>
        <w:top w:val="none" w:sz="0" w:space="0" w:color="auto"/>
        <w:left w:val="none" w:sz="0" w:space="0" w:color="auto"/>
        <w:bottom w:val="none" w:sz="0" w:space="0" w:color="auto"/>
        <w:right w:val="none" w:sz="0" w:space="0" w:color="auto"/>
      </w:divBdr>
    </w:div>
    <w:div w:id="540871011">
      <w:bodyDiv w:val="1"/>
      <w:marLeft w:val="0"/>
      <w:marRight w:val="0"/>
      <w:marTop w:val="0"/>
      <w:marBottom w:val="0"/>
      <w:divBdr>
        <w:top w:val="none" w:sz="0" w:space="0" w:color="auto"/>
        <w:left w:val="none" w:sz="0" w:space="0" w:color="auto"/>
        <w:bottom w:val="none" w:sz="0" w:space="0" w:color="auto"/>
        <w:right w:val="none" w:sz="0" w:space="0" w:color="auto"/>
      </w:divBdr>
    </w:div>
    <w:div w:id="589119902">
      <w:bodyDiv w:val="1"/>
      <w:marLeft w:val="0"/>
      <w:marRight w:val="0"/>
      <w:marTop w:val="0"/>
      <w:marBottom w:val="0"/>
      <w:divBdr>
        <w:top w:val="none" w:sz="0" w:space="0" w:color="auto"/>
        <w:left w:val="none" w:sz="0" w:space="0" w:color="auto"/>
        <w:bottom w:val="none" w:sz="0" w:space="0" w:color="auto"/>
        <w:right w:val="none" w:sz="0" w:space="0" w:color="auto"/>
      </w:divBdr>
    </w:div>
    <w:div w:id="847990297">
      <w:bodyDiv w:val="1"/>
      <w:marLeft w:val="0"/>
      <w:marRight w:val="0"/>
      <w:marTop w:val="0"/>
      <w:marBottom w:val="0"/>
      <w:divBdr>
        <w:top w:val="none" w:sz="0" w:space="0" w:color="auto"/>
        <w:left w:val="none" w:sz="0" w:space="0" w:color="auto"/>
        <w:bottom w:val="none" w:sz="0" w:space="0" w:color="auto"/>
        <w:right w:val="none" w:sz="0" w:space="0" w:color="auto"/>
      </w:divBdr>
    </w:div>
    <w:div w:id="868908329">
      <w:bodyDiv w:val="1"/>
      <w:marLeft w:val="0"/>
      <w:marRight w:val="0"/>
      <w:marTop w:val="0"/>
      <w:marBottom w:val="0"/>
      <w:divBdr>
        <w:top w:val="none" w:sz="0" w:space="0" w:color="auto"/>
        <w:left w:val="none" w:sz="0" w:space="0" w:color="auto"/>
        <w:bottom w:val="none" w:sz="0" w:space="0" w:color="auto"/>
        <w:right w:val="none" w:sz="0" w:space="0" w:color="auto"/>
      </w:divBdr>
    </w:div>
    <w:div w:id="884413051">
      <w:bodyDiv w:val="1"/>
      <w:marLeft w:val="0"/>
      <w:marRight w:val="0"/>
      <w:marTop w:val="0"/>
      <w:marBottom w:val="0"/>
      <w:divBdr>
        <w:top w:val="none" w:sz="0" w:space="0" w:color="auto"/>
        <w:left w:val="none" w:sz="0" w:space="0" w:color="auto"/>
        <w:bottom w:val="none" w:sz="0" w:space="0" w:color="auto"/>
        <w:right w:val="none" w:sz="0" w:space="0" w:color="auto"/>
      </w:divBdr>
    </w:div>
    <w:div w:id="1069501177">
      <w:bodyDiv w:val="1"/>
      <w:marLeft w:val="0"/>
      <w:marRight w:val="0"/>
      <w:marTop w:val="0"/>
      <w:marBottom w:val="0"/>
      <w:divBdr>
        <w:top w:val="none" w:sz="0" w:space="0" w:color="auto"/>
        <w:left w:val="none" w:sz="0" w:space="0" w:color="auto"/>
        <w:bottom w:val="none" w:sz="0" w:space="0" w:color="auto"/>
        <w:right w:val="none" w:sz="0" w:space="0" w:color="auto"/>
      </w:divBdr>
    </w:div>
    <w:div w:id="1394503688">
      <w:bodyDiv w:val="1"/>
      <w:marLeft w:val="0"/>
      <w:marRight w:val="0"/>
      <w:marTop w:val="0"/>
      <w:marBottom w:val="0"/>
      <w:divBdr>
        <w:top w:val="none" w:sz="0" w:space="0" w:color="auto"/>
        <w:left w:val="none" w:sz="0" w:space="0" w:color="auto"/>
        <w:bottom w:val="none" w:sz="0" w:space="0" w:color="auto"/>
        <w:right w:val="none" w:sz="0" w:space="0" w:color="auto"/>
      </w:divBdr>
    </w:div>
    <w:div w:id="1434395960">
      <w:bodyDiv w:val="1"/>
      <w:marLeft w:val="0"/>
      <w:marRight w:val="0"/>
      <w:marTop w:val="0"/>
      <w:marBottom w:val="0"/>
      <w:divBdr>
        <w:top w:val="none" w:sz="0" w:space="0" w:color="auto"/>
        <w:left w:val="none" w:sz="0" w:space="0" w:color="auto"/>
        <w:bottom w:val="none" w:sz="0" w:space="0" w:color="auto"/>
        <w:right w:val="none" w:sz="0" w:space="0" w:color="auto"/>
      </w:divBdr>
    </w:div>
    <w:div w:id="1786343830">
      <w:bodyDiv w:val="1"/>
      <w:marLeft w:val="0"/>
      <w:marRight w:val="0"/>
      <w:marTop w:val="0"/>
      <w:marBottom w:val="0"/>
      <w:divBdr>
        <w:top w:val="none" w:sz="0" w:space="0" w:color="auto"/>
        <w:left w:val="none" w:sz="0" w:space="0" w:color="auto"/>
        <w:bottom w:val="none" w:sz="0" w:space="0" w:color="auto"/>
        <w:right w:val="none" w:sz="0" w:space="0" w:color="auto"/>
      </w:divBdr>
      <w:divsChild>
        <w:div w:id="713506186">
          <w:blockQuote w:val="1"/>
          <w:marLeft w:val="720"/>
          <w:marRight w:val="720"/>
          <w:marTop w:val="100"/>
          <w:marBottom w:val="100"/>
          <w:divBdr>
            <w:top w:val="none" w:sz="0" w:space="0" w:color="auto"/>
            <w:left w:val="single" w:sz="12" w:space="0" w:color="963C2C"/>
            <w:bottom w:val="none" w:sz="0" w:space="0" w:color="auto"/>
            <w:right w:val="none" w:sz="0" w:space="0" w:color="auto"/>
          </w:divBdr>
        </w:div>
      </w:divsChild>
    </w:div>
    <w:div w:id="20670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ada2a6-e873-47a7-9c3f-674812c2fce9">
      <Terms xmlns="http://schemas.microsoft.com/office/infopath/2007/PartnerControls"/>
    </lcf76f155ced4ddcb4097134ff3c332f>
    <TaxCatchAll xmlns="d6474d21-96ee-4f02-9831-07186c4120e3" xsi:nil="true"/>
    <Hyperlink xmlns="feada2a6-e873-47a7-9c3f-674812c2fce9">
      <Url xsi:nil="true"/>
      <Description xsi:nil="true"/>
    </Hyper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F1DAFF68AA204097B9A33E29550738" ma:contentTypeVersion="18" ma:contentTypeDescription="Create a new document." ma:contentTypeScope="" ma:versionID="bcdec091e99a5d2b93de4955152e62cf">
  <xsd:schema xmlns:xsd="http://www.w3.org/2001/XMLSchema" xmlns:xs="http://www.w3.org/2001/XMLSchema" xmlns:p="http://schemas.microsoft.com/office/2006/metadata/properties" xmlns:ns2="feada2a6-e873-47a7-9c3f-674812c2fce9" xmlns:ns3="d6474d21-96ee-4f02-9831-07186c4120e3" targetNamespace="http://schemas.microsoft.com/office/2006/metadata/properties" ma:root="true" ma:fieldsID="f6bc8488076c56c551505141540a68cb" ns2:_="" ns3:_="">
    <xsd:import namespace="feada2a6-e873-47a7-9c3f-674812c2fce9"/>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Hyperlink"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da2a6-e873-47a7-9c3f-674812c2f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fb419f-31d7-44cc-9b1e-47ef0e7f168e" ma:termSetId="09814cd3-568e-fe90-9814-8d621ff8fb84" ma:anchorId="fba54fb3-c3e1-fe81-a776-ca4b69148c4d" ma:open="true" ma:isKeyword="false">
      <xsd:complexType>
        <xsd:sequence>
          <xsd:element ref="pc:Terms" minOccurs="0" maxOccurs="1"/>
        </xsd:sequence>
      </xsd:complex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8920f0-ce57-4f8c-82e8-6fde53e2bc70}" ma:internalName="TaxCatchAll" ma:showField="CatchAllData" ma:web="d6474d21-96ee-4f02-9831-07186c412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852B2E-C0F5-4A76-9D86-A9FD5C6AAC22}">
  <ds:schemaRefs>
    <ds:schemaRef ds:uri="http://schemas.openxmlformats.org/officeDocument/2006/bibliography"/>
  </ds:schemaRefs>
</ds:datastoreItem>
</file>

<file path=customXml/itemProps2.xml><?xml version="1.0" encoding="utf-8"?>
<ds:datastoreItem xmlns:ds="http://schemas.openxmlformats.org/officeDocument/2006/customXml" ds:itemID="{30438E4F-7294-408D-9AE4-3D6FDBA70EA6}">
  <ds:schemaRefs>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feada2a6-e873-47a7-9c3f-674812c2fce9"/>
    <ds:schemaRef ds:uri="http://purl.org/dc/elements/1.1/"/>
    <ds:schemaRef ds:uri="http://schemas.microsoft.com/office/infopath/2007/PartnerControls"/>
    <ds:schemaRef ds:uri="d6474d21-96ee-4f02-9831-07186c4120e3"/>
    <ds:schemaRef ds:uri="http://purl.org/dc/dcmitype/"/>
  </ds:schemaRefs>
</ds:datastoreItem>
</file>

<file path=customXml/itemProps3.xml><?xml version="1.0" encoding="utf-8"?>
<ds:datastoreItem xmlns:ds="http://schemas.openxmlformats.org/officeDocument/2006/customXml" ds:itemID="{2B277C69-6565-4882-BFFE-08FFAC58ED33}">
  <ds:schemaRefs>
    <ds:schemaRef ds:uri="http://schemas.microsoft.com/sharepoint/v3/contenttype/forms"/>
  </ds:schemaRefs>
</ds:datastoreItem>
</file>

<file path=customXml/itemProps4.xml><?xml version="1.0" encoding="utf-8"?>
<ds:datastoreItem xmlns:ds="http://schemas.openxmlformats.org/officeDocument/2006/customXml" ds:itemID="{A0D37A4B-4CFD-447D-947C-FBF8AB6D1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da2a6-e873-47a7-9c3f-674812c2fce9"/>
    <ds:schemaRef ds:uri="d6474d21-96ee-4f02-9831-07186c412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3077</Words>
  <Characters>17543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20579</CharactersWithSpaces>
  <SharedDoc>false</SharedDoc>
  <HLinks>
    <vt:vector size="126" baseType="variant">
      <vt:variant>
        <vt:i4>3342442</vt:i4>
      </vt:variant>
      <vt:variant>
        <vt:i4>12</vt:i4>
      </vt:variant>
      <vt:variant>
        <vt:i4>0</vt:i4>
      </vt:variant>
      <vt:variant>
        <vt:i4>5</vt:i4>
      </vt:variant>
      <vt:variant>
        <vt:lpwstr>https://humanrights.gov.au/our-work/commission-general/convention-rights-persons-disabilities-human-rights-your-fingertips</vt:lpwstr>
      </vt:variant>
      <vt:variant>
        <vt:lpwstr/>
      </vt:variant>
      <vt:variant>
        <vt:i4>8134688</vt:i4>
      </vt:variant>
      <vt:variant>
        <vt:i4>9</vt:i4>
      </vt:variant>
      <vt:variant>
        <vt:i4>0</vt:i4>
      </vt:variant>
      <vt:variant>
        <vt:i4>5</vt:i4>
      </vt:variant>
      <vt:variant>
        <vt:lpwstr/>
      </vt:variant>
      <vt:variant>
        <vt:lpwstr>_Attachment_1:_QDN’s</vt:lpwstr>
      </vt:variant>
      <vt:variant>
        <vt:i4>393284</vt:i4>
      </vt:variant>
      <vt:variant>
        <vt:i4>6</vt:i4>
      </vt:variant>
      <vt:variant>
        <vt:i4>0</vt:i4>
      </vt:variant>
      <vt:variant>
        <vt:i4>5</vt:i4>
      </vt:variant>
      <vt:variant>
        <vt:lpwstr>https://www.housing.qld.gov.au/about/initiatives/housing-principles-inclusive-communities</vt:lpwstr>
      </vt:variant>
      <vt:variant>
        <vt:lpwstr/>
      </vt:variant>
      <vt:variant>
        <vt:i4>6684707</vt:i4>
      </vt:variant>
      <vt:variant>
        <vt:i4>3</vt:i4>
      </vt:variant>
      <vt:variant>
        <vt:i4>0</vt:i4>
      </vt:variant>
      <vt:variant>
        <vt:i4>5</vt:i4>
      </vt:variant>
      <vt:variant>
        <vt:lpwstr>https://qdn.org.au/wp-content/uploads/2018/06/QDN-Going-for-gold-position-paper.pdf</vt:lpwstr>
      </vt:variant>
      <vt:variant>
        <vt:lpwstr/>
      </vt:variant>
      <vt:variant>
        <vt:i4>3997806</vt:i4>
      </vt:variant>
      <vt:variant>
        <vt:i4>0</vt:i4>
      </vt:variant>
      <vt:variant>
        <vt:i4>0</vt:i4>
      </vt:variant>
      <vt:variant>
        <vt:i4>5</vt:i4>
      </vt:variant>
      <vt:variant>
        <vt:lpwstr>https://qdn.org.au/wp-content/uploads/2021/08/A-Place-to-Call-Home-final-10816.pdf</vt:lpwstr>
      </vt:variant>
      <vt:variant>
        <vt:lpwstr/>
      </vt:variant>
      <vt:variant>
        <vt:i4>3473520</vt:i4>
      </vt:variant>
      <vt:variant>
        <vt:i4>45</vt:i4>
      </vt:variant>
      <vt:variant>
        <vt:i4>0</vt:i4>
      </vt:variant>
      <vt:variant>
        <vt:i4>5</vt:i4>
      </vt:variant>
      <vt:variant>
        <vt:lpwstr>https://www.aihw.gov.au/reports/disability/people-with-disability-in-australia</vt:lpwstr>
      </vt:variant>
      <vt:variant>
        <vt:lpwstr/>
      </vt:variant>
      <vt:variant>
        <vt:i4>3473520</vt:i4>
      </vt:variant>
      <vt:variant>
        <vt:i4>42</vt:i4>
      </vt:variant>
      <vt:variant>
        <vt:i4>0</vt:i4>
      </vt:variant>
      <vt:variant>
        <vt:i4>5</vt:i4>
      </vt:variant>
      <vt:variant>
        <vt:lpwstr>https://www.aihw.gov.au/reports/disability/people-with-disability-in-australia</vt:lpwstr>
      </vt:variant>
      <vt:variant>
        <vt:lpwstr/>
      </vt:variant>
      <vt:variant>
        <vt:i4>3276922</vt:i4>
      </vt:variant>
      <vt:variant>
        <vt:i4>39</vt:i4>
      </vt:variant>
      <vt:variant>
        <vt:i4>0</vt:i4>
      </vt:variant>
      <vt:variant>
        <vt:i4>5</vt:i4>
      </vt:variant>
      <vt:variant>
        <vt:lpwstr>http://www.dx.doi.org/10.4225/50/596473db69505</vt:lpwstr>
      </vt:variant>
      <vt:variant>
        <vt:lpwstr/>
      </vt:variant>
      <vt:variant>
        <vt:i4>3276922</vt:i4>
      </vt:variant>
      <vt:variant>
        <vt:i4>36</vt:i4>
      </vt:variant>
      <vt:variant>
        <vt:i4>0</vt:i4>
      </vt:variant>
      <vt:variant>
        <vt:i4>5</vt:i4>
      </vt:variant>
      <vt:variant>
        <vt:lpwstr>http://www.dx.doi.org/10.4225/50/596473db69505</vt:lpwstr>
      </vt:variant>
      <vt:variant>
        <vt:lpwstr/>
      </vt:variant>
      <vt:variant>
        <vt:i4>7798898</vt:i4>
      </vt:variant>
      <vt:variant>
        <vt:i4>33</vt:i4>
      </vt:variant>
      <vt:variant>
        <vt:i4>0</vt:i4>
      </vt:variant>
      <vt:variant>
        <vt:i4>5</vt:i4>
      </vt:variant>
      <vt:variant>
        <vt:lpwstr>https://disability.royalcommission.gov.au/system/files/2023-05/Report - Public hearing 3 - The experience of living in a group home for people with disability.pdf</vt:lpwstr>
      </vt:variant>
      <vt:variant>
        <vt:lpwstr/>
      </vt:variant>
      <vt:variant>
        <vt:i4>655454</vt:i4>
      </vt:variant>
      <vt:variant>
        <vt:i4>29</vt:i4>
      </vt:variant>
      <vt:variant>
        <vt:i4>0</vt:i4>
      </vt:variant>
      <vt:variant>
        <vt:i4>5</vt:i4>
      </vt:variant>
      <vt:variant>
        <vt:lpwstr>http://qdn-going-for-gold-position-paper.pdf/</vt:lpwstr>
      </vt:variant>
      <vt:variant>
        <vt:lpwstr/>
      </vt:variant>
      <vt:variant>
        <vt:i4>6684707</vt:i4>
      </vt:variant>
      <vt:variant>
        <vt:i4>27</vt:i4>
      </vt:variant>
      <vt:variant>
        <vt:i4>0</vt:i4>
      </vt:variant>
      <vt:variant>
        <vt:i4>5</vt:i4>
      </vt:variant>
      <vt:variant>
        <vt:lpwstr>https://qdn.org.au/wp-content/uploads/2018/06/QDN-Going-for-gold-position-paper.pdf</vt:lpwstr>
      </vt:variant>
      <vt:variant>
        <vt:lpwstr/>
      </vt:variant>
      <vt:variant>
        <vt:i4>6684707</vt:i4>
      </vt:variant>
      <vt:variant>
        <vt:i4>24</vt:i4>
      </vt:variant>
      <vt:variant>
        <vt:i4>0</vt:i4>
      </vt:variant>
      <vt:variant>
        <vt:i4>5</vt:i4>
      </vt:variant>
      <vt:variant>
        <vt:lpwstr>https://qdn.org.au/wp-content/uploads/2018/06/QDN-Going-for-gold-position-paper.pdf</vt:lpwstr>
      </vt:variant>
      <vt:variant>
        <vt:lpwstr/>
      </vt:variant>
      <vt:variant>
        <vt:i4>3473520</vt:i4>
      </vt:variant>
      <vt:variant>
        <vt:i4>21</vt:i4>
      </vt:variant>
      <vt:variant>
        <vt:i4>0</vt:i4>
      </vt:variant>
      <vt:variant>
        <vt:i4>5</vt:i4>
      </vt:variant>
      <vt:variant>
        <vt:lpwstr>https://www.aihw.gov.au/reports/disability/people-with-disability-in-australia</vt:lpwstr>
      </vt:variant>
      <vt:variant>
        <vt:lpwstr/>
      </vt:variant>
      <vt:variant>
        <vt:i4>3473520</vt:i4>
      </vt:variant>
      <vt:variant>
        <vt:i4>18</vt:i4>
      </vt:variant>
      <vt:variant>
        <vt:i4>0</vt:i4>
      </vt:variant>
      <vt:variant>
        <vt:i4>5</vt:i4>
      </vt:variant>
      <vt:variant>
        <vt:lpwstr>https://www.aihw.gov.au/reports/disability/people-with-disability-in-australia</vt:lpwstr>
      </vt:variant>
      <vt:variant>
        <vt:lpwstr/>
      </vt:variant>
      <vt:variant>
        <vt:i4>3473520</vt:i4>
      </vt:variant>
      <vt:variant>
        <vt:i4>15</vt:i4>
      </vt:variant>
      <vt:variant>
        <vt:i4>0</vt:i4>
      </vt:variant>
      <vt:variant>
        <vt:i4>5</vt:i4>
      </vt:variant>
      <vt:variant>
        <vt:lpwstr>https://www.aihw.gov.au/reports/disability/people-with-disability-in-australia</vt:lpwstr>
      </vt:variant>
      <vt:variant>
        <vt:lpwstr/>
      </vt:variant>
      <vt:variant>
        <vt:i4>6684707</vt:i4>
      </vt:variant>
      <vt:variant>
        <vt:i4>12</vt:i4>
      </vt:variant>
      <vt:variant>
        <vt:i4>0</vt:i4>
      </vt:variant>
      <vt:variant>
        <vt:i4>5</vt:i4>
      </vt:variant>
      <vt:variant>
        <vt:lpwstr>https://qdn.org.au/wp-content/uploads/2018/06/QDN-Going-for-gold-position-paper.pdf</vt:lpwstr>
      </vt:variant>
      <vt:variant>
        <vt:lpwstr/>
      </vt:variant>
      <vt:variant>
        <vt:i4>458861</vt:i4>
      </vt:variant>
      <vt:variant>
        <vt:i4>9</vt:i4>
      </vt:variant>
      <vt:variant>
        <vt:i4>0</vt:i4>
      </vt:variant>
      <vt:variant>
        <vt:i4>5</vt:i4>
      </vt:variant>
      <vt:variant>
        <vt:lpwstr>https://anglicaresq.org.au/wp-content/uploads/2022/04/2022_Rental-Affordability-Snapshot_final_V1.1.pdf?fbclid=IwAR3CVPB8-lS8egZs-vMfmE9wC1xdEIEdcbOxot10YbEVBstRpn9Kcy8tjT0</vt:lpwstr>
      </vt:variant>
      <vt:variant>
        <vt:lpwstr/>
      </vt:variant>
      <vt:variant>
        <vt:i4>2228319</vt:i4>
      </vt:variant>
      <vt:variant>
        <vt:i4>6</vt:i4>
      </vt:variant>
      <vt:variant>
        <vt:i4>0</vt:i4>
      </vt:variant>
      <vt:variant>
        <vt:i4>5</vt:i4>
      </vt:variant>
      <vt:variant>
        <vt:lpwstr>https://www.qcoss.org.au/wp-content/uploads/2022/12/Living-Affordability-in-Queensland-2022_FINAL.pdf</vt:lpwstr>
      </vt:variant>
      <vt:variant>
        <vt:lpwstr/>
      </vt:variant>
      <vt:variant>
        <vt:i4>6750270</vt:i4>
      </vt:variant>
      <vt:variant>
        <vt:i4>3</vt:i4>
      </vt:variant>
      <vt:variant>
        <vt:i4>0</vt:i4>
      </vt:variant>
      <vt:variant>
        <vt:i4>5</vt:i4>
      </vt:variant>
      <vt:variant>
        <vt:lpwstr>https://www.qcoss.org.au/wp-content/uploads/2019/05/QCOSS-Position-Statement-on-Housing-August-2018.pdf</vt:lpwstr>
      </vt:variant>
      <vt:variant>
        <vt:lpwstr/>
      </vt:variant>
      <vt:variant>
        <vt:i4>8061033</vt:i4>
      </vt:variant>
      <vt:variant>
        <vt:i4>0</vt:i4>
      </vt:variant>
      <vt:variant>
        <vt:i4>0</vt:i4>
      </vt:variant>
      <vt:variant>
        <vt:i4>5</vt:i4>
      </vt:variant>
      <vt:variant>
        <vt:lpwstr>https://www.ohchr.org/en/instruments-mechanisms/instruments/convention-rights-persons-disabilities</vt:lpwstr>
      </vt:variant>
      <vt:variant>
        <vt:lpwstr>:~:text=of%20natural%20disasters.-,Article%2012%20%2D%20Equal%20recognition%20before%20the%20law,in%20all%20aspects%20of%20life.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Riguet</dc:creator>
  <cp:keywords/>
  <dc:description/>
  <cp:lastModifiedBy>Rebecca Cason</cp:lastModifiedBy>
  <cp:revision>4</cp:revision>
  <cp:lastPrinted>2024-01-19T04:41:00Z</cp:lastPrinted>
  <dcterms:created xsi:type="dcterms:W3CDTF">2024-01-19T04:39:00Z</dcterms:created>
  <dcterms:modified xsi:type="dcterms:W3CDTF">2024-01-19T04:41:00Z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0x0101003DF1DAFF68AA204097B9A33E29550738</vt:lpwstr>
  </property>
  <property fmtid="{D5CDD505-2E9C-101B-9397-08002B2CF9AE}" pid="3" name="MediaServiceImageTags">
    <vt:lpwstr/>
  </property>
</Properties>
</file>