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A1" w:rsidRDefault="002514A1">
      <w:pPr>
        <w:pStyle w:val="Body"/>
        <w:jc w:val="center"/>
        <w:rPr>
          <w:rFonts w:ascii="Arial" w:eastAsia="Arial" w:hAnsi="Arial" w:cs="Arial"/>
          <w:b/>
          <w:bCs/>
          <w:sz w:val="32"/>
          <w:szCs w:val="32"/>
        </w:rPr>
      </w:pPr>
    </w:p>
    <w:p w:rsidR="002514A1" w:rsidRDefault="00F17215">
      <w:pPr>
        <w:pStyle w:val="Body"/>
        <w:jc w:val="center"/>
        <w:rPr>
          <w:rStyle w:val="PageNumber"/>
          <w:rFonts w:ascii="Arial" w:eastAsia="Arial" w:hAnsi="Arial" w:cs="Arial"/>
          <w:b/>
          <w:bCs/>
          <w:sz w:val="32"/>
          <w:szCs w:val="32"/>
        </w:rPr>
      </w:pPr>
      <w:r>
        <w:rPr>
          <w:rStyle w:val="PageNumber"/>
          <w:rFonts w:ascii="Arial" w:hAnsi="Arial"/>
          <w:b/>
          <w:bCs/>
          <w:sz w:val="32"/>
          <w:szCs w:val="32"/>
        </w:rPr>
        <w:t xml:space="preserve">Understanding SDA FRAMEWORK </w:t>
      </w:r>
    </w:p>
    <w:p w:rsidR="002514A1" w:rsidRDefault="002514A1">
      <w:pPr>
        <w:pStyle w:val="Body"/>
        <w:rPr>
          <w:rFonts w:ascii="Arial" w:eastAsia="Arial" w:hAnsi="Arial" w:cs="Arial"/>
          <w:b/>
          <w:bCs/>
        </w:rPr>
      </w:pPr>
    </w:p>
    <w:p w:rsidR="002514A1" w:rsidRDefault="002514A1">
      <w:pPr>
        <w:pStyle w:val="Body"/>
        <w:rPr>
          <w:rFonts w:ascii="Arial" w:eastAsia="Arial" w:hAnsi="Arial" w:cs="Arial"/>
          <w:b/>
          <w:bCs/>
        </w:rPr>
      </w:pPr>
    </w:p>
    <w:p w:rsidR="002514A1" w:rsidRDefault="00F17215">
      <w:pPr>
        <w:pStyle w:val="Body"/>
        <w:rPr>
          <w:rStyle w:val="PageNumber"/>
          <w:rFonts w:ascii="Arial" w:eastAsia="Arial" w:hAnsi="Arial" w:cs="Arial"/>
          <w:b/>
          <w:bCs/>
          <w:sz w:val="32"/>
          <w:szCs w:val="32"/>
        </w:rPr>
      </w:pPr>
      <w:r>
        <w:rPr>
          <w:rStyle w:val="PageNumber"/>
          <w:rFonts w:ascii="Arial" w:hAnsi="Arial"/>
          <w:b/>
          <w:bCs/>
          <w:sz w:val="32"/>
          <w:szCs w:val="32"/>
          <w:lang w:val="en-US"/>
        </w:rPr>
        <w:t>INTRODUCTION</w:t>
      </w:r>
    </w:p>
    <w:p w:rsidR="002514A1" w:rsidRDefault="002514A1">
      <w:pPr>
        <w:pStyle w:val="Body"/>
        <w:rPr>
          <w:rFonts w:ascii="Arial" w:eastAsia="Arial" w:hAnsi="Arial" w:cs="Arial"/>
          <w:b/>
          <w:bCs/>
        </w:rPr>
      </w:pPr>
      <w:bookmarkStart w:id="0" w:name="_GoBack"/>
      <w:bookmarkEnd w:id="0"/>
    </w:p>
    <w:p w:rsidR="002514A1" w:rsidRDefault="00F17215">
      <w:pPr>
        <w:pStyle w:val="Body"/>
        <w:rPr>
          <w:rStyle w:val="PageNumber"/>
          <w:rFonts w:ascii="Arial" w:eastAsia="Arial" w:hAnsi="Arial" w:cs="Arial"/>
        </w:rPr>
      </w:pPr>
      <w:r>
        <w:rPr>
          <w:rStyle w:val="PageNumber"/>
          <w:rFonts w:ascii="Arial" w:hAnsi="Arial"/>
          <w:lang w:val="pt-PT"/>
        </w:rPr>
        <w:t xml:space="preserve">SDA </w:t>
      </w:r>
      <w:r>
        <w:rPr>
          <w:rStyle w:val="PageNumber"/>
          <w:rFonts w:ascii="Arial" w:hAnsi="Arial"/>
          <w:lang w:val="en-US"/>
        </w:rPr>
        <w:t xml:space="preserve">is accessible housing for people with disability provided by NDIS. </w:t>
      </w:r>
    </w:p>
    <w:p w:rsidR="002514A1" w:rsidRDefault="002514A1">
      <w:pPr>
        <w:pStyle w:val="Body"/>
        <w:rPr>
          <w:rStyle w:val="PageNumbe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 xml:space="preserve">Recently a review of SDA Pricing and Payments Framework (SDA framework) was held by KPMG on behalf Disability Reform Council. (DRC) </w:t>
      </w:r>
      <w:r>
        <w:rPr>
          <w:rStyle w:val="PageNumber"/>
          <w:rFonts w:ascii="Arial" w:hAnsi="Arial"/>
          <w:lang w:val="en-US"/>
        </w:rPr>
        <w:t>The DRC makes sure the NDIS is going well and makes recommendations about the NDIS.</w:t>
      </w:r>
    </w:p>
    <w:p w:rsidR="002514A1" w:rsidRDefault="002514A1">
      <w:pPr>
        <w:pStyle w:val="Body"/>
        <w:rPr>
          <w:rStyle w:val="PageNumber"/>
          <w:rFonts w:ascii="Arial" w:eastAsia="Arial" w:hAnsi="Arial" w:cs="Arial"/>
        </w:rPr>
      </w:pPr>
    </w:p>
    <w:p w:rsidR="002514A1" w:rsidRDefault="00F17215">
      <w:pPr>
        <w:pStyle w:val="Body"/>
      </w:pPr>
      <w:r>
        <w:rPr>
          <w:rStyle w:val="PageNumber"/>
          <w:rFonts w:ascii="Arial" w:hAnsi="Arial"/>
          <w:lang w:val="en-US"/>
        </w:rPr>
        <w:t>QDN provided input into this review at a roundtable.</w:t>
      </w:r>
    </w:p>
    <w:p w:rsidR="002514A1" w:rsidRDefault="002514A1">
      <w:pPr>
        <w:pStyle w:val="Body"/>
      </w:pPr>
    </w:p>
    <w:p w:rsidR="002514A1" w:rsidRDefault="00F17215">
      <w:pPr>
        <w:pStyle w:val="Body"/>
        <w:rPr>
          <w:rStyle w:val="PageNumber"/>
          <w:rFonts w:ascii="Arial" w:eastAsia="Arial" w:hAnsi="Arial" w:cs="Arial"/>
        </w:rPr>
      </w:pPr>
      <w:r>
        <w:rPr>
          <w:rStyle w:val="PageNumber"/>
          <w:rFonts w:ascii="Arial" w:hAnsi="Arial"/>
          <w:lang w:val="en-US"/>
        </w:rPr>
        <w:t>Summer Foundation provided a joint submission into this review. QDN was one of the supporting partners.</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This paper i</w:t>
      </w:r>
      <w:r>
        <w:rPr>
          <w:rStyle w:val="PageNumber"/>
          <w:rFonts w:ascii="Arial" w:hAnsi="Arial"/>
          <w:lang w:val="en-US"/>
        </w:rPr>
        <w:t xml:space="preserve">s to help QDN members understand more about </w:t>
      </w:r>
    </w:p>
    <w:p w:rsidR="002514A1" w:rsidRDefault="00F17215">
      <w:pPr>
        <w:pStyle w:val="Body"/>
        <w:rPr>
          <w:rStyle w:val="PageNumber"/>
          <w:rFonts w:ascii="Arial" w:eastAsia="Arial" w:hAnsi="Arial" w:cs="Arial"/>
        </w:rPr>
      </w:pPr>
      <w:r>
        <w:rPr>
          <w:rStyle w:val="PageNumber"/>
          <w:rFonts w:ascii="Arial" w:eastAsia="Arial" w:hAnsi="Arial" w:cs="Arial"/>
        </w:rPr>
        <w:tab/>
      </w:r>
    </w:p>
    <w:p w:rsidR="002514A1" w:rsidRDefault="00F17215">
      <w:pPr>
        <w:pStyle w:val="Body"/>
        <w:rPr>
          <w:rStyle w:val="PageNumber"/>
          <w:rFonts w:ascii="Arial" w:eastAsia="Arial" w:hAnsi="Arial" w:cs="Arial"/>
        </w:rPr>
      </w:pPr>
      <w:r>
        <w:rPr>
          <w:rStyle w:val="PageNumber"/>
          <w:rFonts w:ascii="Arial" w:eastAsia="Arial" w:hAnsi="Arial" w:cs="Arial"/>
          <w:lang w:val="en-US"/>
        </w:rPr>
        <w:tab/>
        <w:t xml:space="preserve">What is Specialist Disability </w:t>
      </w:r>
      <w:proofErr w:type="gramStart"/>
      <w:r>
        <w:rPr>
          <w:rStyle w:val="PageNumber"/>
          <w:rFonts w:ascii="Arial" w:eastAsia="Arial" w:hAnsi="Arial" w:cs="Arial"/>
          <w:lang w:val="en-US"/>
        </w:rPr>
        <w:t>Accommodation</w:t>
      </w:r>
      <w:proofErr w:type="gramEnd"/>
      <w:r>
        <w:rPr>
          <w:rStyle w:val="PageNumber"/>
          <w:rFonts w:ascii="Arial" w:eastAsia="Arial" w:hAnsi="Arial" w:cs="Arial"/>
          <w:lang w:val="en-US"/>
        </w:rPr>
        <w:t xml:space="preserve">  </w:t>
      </w:r>
    </w:p>
    <w:p w:rsidR="002514A1" w:rsidRDefault="00F17215">
      <w:pPr>
        <w:pStyle w:val="Body"/>
        <w:rPr>
          <w:rStyle w:val="PageNumber"/>
          <w:rFonts w:ascii="Arial" w:eastAsia="Arial" w:hAnsi="Arial" w:cs="Arial"/>
        </w:rPr>
      </w:pPr>
      <w:r>
        <w:rPr>
          <w:rStyle w:val="PageNumber"/>
          <w:rFonts w:ascii="Arial" w:eastAsia="Arial" w:hAnsi="Arial" w:cs="Arial"/>
        </w:rPr>
        <w:tab/>
      </w:r>
      <w:r>
        <w:rPr>
          <w:rStyle w:val="PageNumber"/>
          <w:rFonts w:ascii="Arial" w:hAnsi="Arial"/>
          <w:lang w:val="en-US"/>
        </w:rPr>
        <w:t xml:space="preserve">Summary Joint Submission: Review of Pricing Framework  </w:t>
      </w:r>
    </w:p>
    <w:p w:rsidR="002514A1" w:rsidRDefault="002514A1">
      <w:pPr>
        <w:pStyle w:val="Body"/>
        <w:rPr>
          <w:b/>
          <w:bCs/>
          <w:sz w:val="32"/>
          <w:szCs w:val="32"/>
        </w:rPr>
      </w:pPr>
    </w:p>
    <w:p w:rsidR="002514A1" w:rsidRDefault="00F17215">
      <w:pPr>
        <w:pStyle w:val="Body"/>
        <w:rPr>
          <w:rStyle w:val="PageNumber"/>
          <w:rFonts w:ascii="Arial" w:eastAsia="Arial" w:hAnsi="Arial" w:cs="Arial"/>
          <w:b/>
          <w:bCs/>
          <w:sz w:val="32"/>
          <w:szCs w:val="32"/>
        </w:rPr>
      </w:pPr>
      <w:r>
        <w:rPr>
          <w:rStyle w:val="PageNumber"/>
          <w:rFonts w:ascii="Arial" w:hAnsi="Arial"/>
          <w:b/>
          <w:bCs/>
          <w:sz w:val="32"/>
          <w:szCs w:val="32"/>
        </w:rPr>
        <w:t>WHAT IS SDA</w:t>
      </w:r>
    </w:p>
    <w:p w:rsidR="002514A1" w:rsidRDefault="002514A1">
      <w:pPr>
        <w:pStyle w:val="Body"/>
        <w:rPr>
          <w:rFonts w:ascii="Arial" w:eastAsia="Arial" w:hAnsi="Arial" w:cs="Arial"/>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 xml:space="preserve">Specialist disability accommodation (SDA) is housing that has been specially designed or modified for people who have an </w:t>
      </w:r>
      <w:r>
        <w:rPr>
          <w:rStyle w:val="PageNumber"/>
          <w:rFonts w:ascii="Arial" w:hAnsi="Arial"/>
          <w:sz w:val="24"/>
          <w:szCs w:val="24"/>
        </w:rPr>
        <w:t>‘</w:t>
      </w:r>
      <w:r>
        <w:rPr>
          <w:rStyle w:val="PageNumber"/>
          <w:rFonts w:ascii="Arial" w:hAnsi="Arial"/>
          <w:sz w:val="24"/>
          <w:szCs w:val="24"/>
          <w:lang w:val="en-US"/>
        </w:rPr>
        <w:t>extreme functional impairment</w:t>
      </w:r>
      <w:r>
        <w:rPr>
          <w:rStyle w:val="PageNumber"/>
          <w:rFonts w:ascii="Arial" w:hAnsi="Arial"/>
          <w:sz w:val="24"/>
          <w:szCs w:val="24"/>
        </w:rPr>
        <w:t xml:space="preserve">’ </w:t>
      </w:r>
      <w:r>
        <w:rPr>
          <w:rStyle w:val="PageNumber"/>
          <w:rFonts w:ascii="Arial" w:hAnsi="Arial"/>
          <w:sz w:val="24"/>
          <w:szCs w:val="24"/>
        </w:rPr>
        <w:t xml:space="preserve">or </w:t>
      </w:r>
      <w:r>
        <w:rPr>
          <w:rStyle w:val="PageNumber"/>
          <w:rFonts w:ascii="Arial" w:hAnsi="Arial"/>
          <w:sz w:val="24"/>
          <w:szCs w:val="24"/>
        </w:rPr>
        <w:t>‘</w:t>
      </w:r>
      <w:r>
        <w:rPr>
          <w:rStyle w:val="PageNumber"/>
          <w:rFonts w:ascii="Arial" w:hAnsi="Arial"/>
          <w:sz w:val="24"/>
          <w:szCs w:val="24"/>
          <w:lang w:val="en-US"/>
        </w:rPr>
        <w:t>very high support needs</w:t>
      </w:r>
      <w:r>
        <w:rPr>
          <w:rStyle w:val="PageNumber"/>
          <w:rFonts w:ascii="Arial" w:hAnsi="Arial"/>
          <w:sz w:val="24"/>
          <w:szCs w:val="24"/>
        </w:rPr>
        <w:t>’</w:t>
      </w:r>
      <w:r>
        <w:rPr>
          <w:rStyle w:val="PageNumber"/>
          <w:rFonts w:ascii="Arial" w:hAnsi="Arial"/>
          <w:sz w:val="24"/>
          <w:szCs w:val="24"/>
        </w:rPr>
        <w:t>.</w:t>
      </w:r>
    </w:p>
    <w:p w:rsidR="002514A1" w:rsidRDefault="002514A1">
      <w:pPr>
        <w:pStyle w:val="Default"/>
        <w:rPr>
          <w:rStyle w:val="PageNumber"/>
          <w:rFonts w:ascii="Arial" w:eastAsia="Arial" w:hAnsi="Arial" w:cs="Arial"/>
          <w:sz w:val="24"/>
          <w:szCs w:val="24"/>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Only 6% of NDIS participants (or 28,000 people) are eligible for SDA hou</w:t>
      </w:r>
      <w:r>
        <w:rPr>
          <w:rStyle w:val="PageNumber"/>
          <w:rFonts w:ascii="Arial" w:hAnsi="Arial"/>
          <w:sz w:val="24"/>
          <w:szCs w:val="24"/>
          <w:lang w:val="en-US"/>
        </w:rPr>
        <w:t>sing under the NDIS in Australia. Currently 7,624 are receiving SDA funding.</w:t>
      </w:r>
    </w:p>
    <w:p w:rsidR="002514A1" w:rsidRDefault="002514A1">
      <w:pPr>
        <w:pStyle w:val="Default"/>
        <w:rPr>
          <w:rStyle w:val="PageNumber"/>
          <w:rFonts w:ascii="Arial" w:eastAsia="Arial" w:hAnsi="Arial" w:cs="Arial"/>
          <w:sz w:val="24"/>
          <w:szCs w:val="24"/>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 xml:space="preserve">If you are eligible, the NDIS funds the cost of your housing through SDA payments to an SDA housing </w:t>
      </w:r>
      <w:r>
        <w:rPr>
          <w:rStyle w:val="PageNumber"/>
          <w:rFonts w:ascii="Arial" w:hAnsi="Arial"/>
          <w:sz w:val="24"/>
          <w:szCs w:val="24"/>
        </w:rPr>
        <w:t>provider.</w:t>
      </w:r>
      <w:r>
        <w:rPr>
          <w:rStyle w:val="PageNumber"/>
          <w:rFonts w:ascii="Arial" w:hAnsi="Arial"/>
          <w:sz w:val="24"/>
          <w:szCs w:val="24"/>
          <w:lang w:val="en-US"/>
        </w:rPr>
        <w:t xml:space="preserve"> </w:t>
      </w:r>
    </w:p>
    <w:p w:rsidR="002514A1" w:rsidRDefault="002514A1">
      <w:pPr>
        <w:pStyle w:val="Default"/>
        <w:rPr>
          <w:rStyle w:val="PageNumber"/>
          <w:rFonts w:ascii="Arial" w:eastAsia="Arial" w:hAnsi="Arial" w:cs="Arial"/>
          <w:sz w:val="24"/>
          <w:szCs w:val="24"/>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You can choose which SDA provider you want.</w:t>
      </w:r>
    </w:p>
    <w:p w:rsidR="002514A1" w:rsidRDefault="002514A1">
      <w:pPr>
        <w:pStyle w:val="Default"/>
        <w:rPr>
          <w:rStyle w:val="PageNumber"/>
          <w:rFonts w:ascii="Arial" w:eastAsia="Arial" w:hAnsi="Arial" w:cs="Arial"/>
          <w:sz w:val="24"/>
          <w:szCs w:val="24"/>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 xml:space="preserve">The NDIS provides substantial payments and incentives to the SDA provider to develop housing that meets strict SDA standards. </w:t>
      </w:r>
    </w:p>
    <w:p w:rsidR="002514A1" w:rsidRDefault="002514A1">
      <w:pPr>
        <w:pStyle w:val="Default"/>
        <w:rPr>
          <w:rStyle w:val="PageNumber"/>
          <w:rFonts w:ascii="Arial" w:eastAsia="Arial" w:hAnsi="Arial" w:cs="Arial"/>
          <w:sz w:val="24"/>
          <w:szCs w:val="24"/>
        </w:rPr>
      </w:pPr>
    </w:p>
    <w:p w:rsidR="002514A1" w:rsidRDefault="00F17215">
      <w:pPr>
        <w:pStyle w:val="Default"/>
        <w:rPr>
          <w:rStyle w:val="PageNumber"/>
          <w:rFonts w:ascii="Arial" w:eastAsia="Arial" w:hAnsi="Arial" w:cs="Arial"/>
          <w:sz w:val="24"/>
          <w:szCs w:val="24"/>
        </w:rPr>
      </w:pPr>
      <w:r>
        <w:rPr>
          <w:rStyle w:val="PageNumber"/>
          <w:rFonts w:ascii="Arial" w:hAnsi="Arial"/>
          <w:sz w:val="24"/>
          <w:szCs w:val="24"/>
          <w:lang w:val="en-US"/>
        </w:rPr>
        <w:t>These SDA providers can be anyone (including people with disability and their families) who are able to build according to these</w:t>
      </w:r>
      <w:r>
        <w:rPr>
          <w:rStyle w:val="PageNumber"/>
          <w:rFonts w:ascii="Arial" w:hAnsi="Arial"/>
          <w:sz w:val="24"/>
          <w:szCs w:val="24"/>
          <w:lang w:val="en-US"/>
        </w:rPr>
        <w:t xml:space="preserve"> strict guidelines. </w:t>
      </w:r>
    </w:p>
    <w:p w:rsidR="002514A1" w:rsidRDefault="002514A1">
      <w:pPr>
        <w:pStyle w:val="Default"/>
        <w:rPr>
          <w:rStyle w:val="PageNumber"/>
          <w:rFonts w:ascii="Arial" w:eastAsia="Arial" w:hAnsi="Arial" w:cs="Arial"/>
          <w:sz w:val="24"/>
          <w:szCs w:val="24"/>
        </w:rPr>
      </w:pPr>
    </w:p>
    <w:p w:rsidR="002514A1" w:rsidRDefault="00F17215">
      <w:pPr>
        <w:pStyle w:val="Default"/>
        <w:rPr>
          <w:sz w:val="24"/>
          <w:szCs w:val="24"/>
        </w:rPr>
      </w:pPr>
      <w:r>
        <w:rPr>
          <w:rStyle w:val="PageNumber"/>
          <w:rFonts w:ascii="Arial" w:hAnsi="Arial"/>
          <w:sz w:val="24"/>
          <w:szCs w:val="24"/>
          <w:lang w:val="en-US"/>
        </w:rPr>
        <w:t xml:space="preserve">Only those people with </w:t>
      </w:r>
      <w:r>
        <w:rPr>
          <w:rStyle w:val="PageNumber"/>
          <w:rFonts w:ascii="Arial" w:hAnsi="Arial"/>
          <w:sz w:val="24"/>
          <w:szCs w:val="24"/>
        </w:rPr>
        <w:t>‘</w:t>
      </w:r>
      <w:r>
        <w:rPr>
          <w:rStyle w:val="PageNumber"/>
          <w:rFonts w:ascii="Arial" w:hAnsi="Arial"/>
          <w:sz w:val="24"/>
          <w:szCs w:val="24"/>
          <w:lang w:val="en-US"/>
        </w:rPr>
        <w:t>extreme functional impairment</w:t>
      </w:r>
      <w:r>
        <w:rPr>
          <w:rStyle w:val="PageNumber"/>
          <w:rFonts w:ascii="Arial" w:hAnsi="Arial"/>
          <w:sz w:val="24"/>
          <w:szCs w:val="24"/>
        </w:rPr>
        <w:t xml:space="preserve">’ </w:t>
      </w:r>
      <w:r>
        <w:rPr>
          <w:rStyle w:val="PageNumber"/>
          <w:rFonts w:ascii="Arial" w:hAnsi="Arial"/>
          <w:sz w:val="24"/>
          <w:szCs w:val="24"/>
        </w:rPr>
        <w:t xml:space="preserve">or </w:t>
      </w:r>
      <w:r>
        <w:rPr>
          <w:rStyle w:val="PageNumber"/>
          <w:rFonts w:ascii="Arial" w:hAnsi="Arial"/>
          <w:sz w:val="24"/>
          <w:szCs w:val="24"/>
        </w:rPr>
        <w:t>‘</w:t>
      </w:r>
      <w:r>
        <w:rPr>
          <w:rStyle w:val="PageNumber"/>
          <w:rFonts w:ascii="Arial" w:hAnsi="Arial"/>
          <w:sz w:val="24"/>
          <w:szCs w:val="24"/>
          <w:lang w:val="en-US"/>
        </w:rPr>
        <w:t>very high support needs</w:t>
      </w:r>
      <w:r>
        <w:rPr>
          <w:rStyle w:val="PageNumber"/>
          <w:rFonts w:ascii="Arial" w:hAnsi="Arial"/>
          <w:sz w:val="24"/>
          <w:szCs w:val="24"/>
        </w:rPr>
        <w:t>’</w:t>
      </w:r>
      <w:r>
        <w:rPr>
          <w:rStyle w:val="PageNumber"/>
          <w:rFonts w:ascii="Arial" w:hAnsi="Arial"/>
          <w:sz w:val="24"/>
          <w:szCs w:val="24"/>
          <w:lang w:val="en-US"/>
        </w:rPr>
        <w:t xml:space="preserve"> and assessed as eligible by NDIS can live in these SDA housing.</w:t>
      </w:r>
    </w:p>
    <w:p w:rsidR="002514A1" w:rsidRDefault="002514A1">
      <w:pPr>
        <w:pStyle w:val="Body"/>
      </w:pPr>
    </w:p>
    <w:p w:rsidR="002514A1" w:rsidRDefault="002514A1">
      <w:pPr>
        <w:pStyle w:val="Body"/>
      </w:pPr>
    </w:p>
    <w:p w:rsidR="002514A1" w:rsidRDefault="002514A1">
      <w:pPr>
        <w:pStyle w:val="Body"/>
      </w:pPr>
    </w:p>
    <w:p w:rsidR="002514A1" w:rsidRDefault="002514A1">
      <w:pPr>
        <w:pStyle w:val="Body"/>
      </w:pPr>
    </w:p>
    <w:p w:rsidR="002514A1" w:rsidRDefault="002514A1">
      <w:pPr>
        <w:pStyle w:val="Body"/>
      </w:pPr>
    </w:p>
    <w:p w:rsidR="002514A1" w:rsidRDefault="002514A1">
      <w:pPr>
        <w:pStyle w:val="Body"/>
        <w:rPr>
          <w:rFonts w:ascii="Arial" w:eastAsia="Arial" w:hAnsi="Arial" w:cs="Arial"/>
          <w:b/>
          <w:bCs/>
        </w:rPr>
      </w:pPr>
    </w:p>
    <w:p w:rsidR="002514A1" w:rsidRDefault="002514A1">
      <w:pPr>
        <w:pStyle w:val="Body"/>
        <w:rPr>
          <w:rFonts w:ascii="Arial" w:eastAsia="Arial" w:hAnsi="Arial" w:cs="Arial"/>
          <w:b/>
          <w:bCs/>
        </w:rPr>
      </w:pPr>
    </w:p>
    <w:p w:rsidR="002514A1" w:rsidRDefault="00F17215">
      <w:pPr>
        <w:pStyle w:val="Body"/>
        <w:rPr>
          <w:rStyle w:val="PageNumber"/>
          <w:rFonts w:ascii="Arial" w:eastAsia="Arial" w:hAnsi="Arial" w:cs="Arial"/>
          <w:b/>
          <w:bCs/>
          <w:sz w:val="28"/>
          <w:szCs w:val="28"/>
        </w:rPr>
      </w:pPr>
      <w:r>
        <w:rPr>
          <w:rStyle w:val="PageNumber"/>
          <w:rFonts w:ascii="Arial" w:hAnsi="Arial"/>
          <w:b/>
          <w:bCs/>
          <w:sz w:val="28"/>
          <w:szCs w:val="28"/>
          <w:lang w:val="en-US"/>
        </w:rPr>
        <w:t>STATE OF THE MARKET</w:t>
      </w:r>
    </w:p>
    <w:p w:rsidR="002514A1" w:rsidRDefault="002514A1">
      <w:pPr>
        <w:pStyle w:val="Body"/>
        <w:rPr>
          <w:rFonts w:ascii="Arial" w:eastAsia="Arial" w:hAnsi="Arial" w:cs="Arial"/>
          <w:b/>
          <w:bCs/>
        </w:rPr>
      </w:pPr>
    </w:p>
    <w:p w:rsidR="002514A1" w:rsidRDefault="00F17215">
      <w:pPr>
        <w:pStyle w:val="Body"/>
        <w:rPr>
          <w:rStyle w:val="PageNumber"/>
          <w:rFonts w:ascii="Arial" w:eastAsia="Arial" w:hAnsi="Arial" w:cs="Arial"/>
        </w:rPr>
      </w:pPr>
      <w:r>
        <w:rPr>
          <w:rStyle w:val="PageNumber"/>
          <w:rFonts w:ascii="Arial" w:hAnsi="Arial"/>
          <w:lang w:val="en-US"/>
        </w:rPr>
        <w:t xml:space="preserve">The existing SDA supply market is dominated by group homes and </w:t>
      </w:r>
      <w:proofErr w:type="gramStart"/>
      <w:r>
        <w:rPr>
          <w:rStyle w:val="PageNumber"/>
          <w:rFonts w:ascii="Arial" w:hAnsi="Arial"/>
          <w:lang w:val="en-US"/>
        </w:rPr>
        <w:t>is a reflection of</w:t>
      </w:r>
      <w:proofErr w:type="gramEnd"/>
      <w:r>
        <w:rPr>
          <w:rStyle w:val="PageNumber"/>
          <w:rFonts w:ascii="Arial" w:hAnsi="Arial"/>
          <w:lang w:val="en-US"/>
        </w:rPr>
        <w:t xml:space="preserve"> past policy and funding settings. </w:t>
      </w:r>
    </w:p>
    <w:p w:rsidR="002514A1" w:rsidRDefault="002514A1">
      <w:pPr>
        <w:pStyle w:val="Body"/>
        <w:rPr>
          <w:rStyle w:val="PageNumbe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Most of the supply is state government owned. State governments are still working through their present and future role in asset ownership</w:t>
      </w:r>
      <w:r>
        <w:rPr>
          <w:rStyle w:val="PageNumber"/>
          <w:rFonts w:ascii="Arial" w:hAnsi="Arial"/>
          <w:lang w:val="en-US"/>
        </w:rPr>
        <w:t xml:space="preserve">, new asset development and provision of SDA. In Queensland Department of Housing and Public Works is not entering into SDA market as a provider. </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Key themes from the Summer Foundation SDA Market Insights study are:</w:t>
      </w:r>
    </w:p>
    <w:p w:rsidR="002514A1" w:rsidRDefault="002514A1">
      <w:pPr>
        <w:pStyle w:val="Body"/>
        <w:rPr>
          <w:rFonts w:ascii="Arial" w:eastAsia="Arial" w:hAnsi="Arial" w:cs="Arial"/>
          <w:b/>
          <w:bCs/>
        </w:rPr>
      </w:pPr>
    </w:p>
    <w:p w:rsidR="002514A1" w:rsidRDefault="00F17215">
      <w:pPr>
        <w:pStyle w:val="Body"/>
        <w:rPr>
          <w:rStyle w:val="PageNumber"/>
          <w:rFonts w:ascii="Arial" w:eastAsia="Arial" w:hAnsi="Arial" w:cs="Arial"/>
          <w:b/>
          <w:bCs/>
        </w:rPr>
      </w:pPr>
      <w:r>
        <w:rPr>
          <w:rStyle w:val="PageNumber"/>
          <w:rFonts w:ascii="Arial" w:hAnsi="Arial"/>
          <w:b/>
          <w:bCs/>
          <w:lang w:val="en-US"/>
        </w:rPr>
        <w:t>Ageing group homes dominate the market</w:t>
      </w:r>
      <w:r>
        <w:rPr>
          <w:rStyle w:val="PageNumber"/>
          <w:rFonts w:ascii="Arial" w:hAnsi="Arial"/>
          <w:b/>
          <w:bCs/>
          <w:lang w:val="en-US"/>
        </w:rPr>
        <w:t>, with government still a substantial player:</w:t>
      </w:r>
    </w:p>
    <w:p w:rsidR="002514A1" w:rsidRDefault="002514A1">
      <w:pPr>
        <w:pStyle w:val="Body"/>
        <w:rPr>
          <w:rFonts w:ascii="Arial" w:eastAsia="Arial" w:hAnsi="Arial" w:cs="Arial"/>
          <w:b/>
          <w:bCs/>
        </w:rPr>
      </w:pPr>
    </w:p>
    <w:p w:rsidR="002514A1" w:rsidRDefault="00F17215">
      <w:pPr>
        <w:pStyle w:val="ListParagraph"/>
        <w:numPr>
          <w:ilvl w:val="0"/>
          <w:numId w:val="2"/>
        </w:numPr>
        <w:rPr>
          <w:rStyle w:val="PageNumber"/>
          <w:rFonts w:ascii="Arial" w:eastAsia="Arial" w:hAnsi="Arial" w:cs="Arial"/>
          <w:lang w:val="en-US"/>
        </w:rPr>
      </w:pPr>
      <w:r>
        <w:rPr>
          <w:rStyle w:val="PageNumber"/>
          <w:rFonts w:ascii="Arial" w:hAnsi="Arial"/>
          <w:lang w:val="en-US"/>
        </w:rPr>
        <w:t xml:space="preserve">87% of the places in the current SDA market are in group homes </w:t>
      </w:r>
    </w:p>
    <w:p w:rsidR="002514A1" w:rsidRDefault="00F17215">
      <w:pPr>
        <w:pStyle w:val="ListParagraph"/>
        <w:numPr>
          <w:ilvl w:val="0"/>
          <w:numId w:val="2"/>
        </w:numPr>
        <w:rPr>
          <w:rStyle w:val="PageNumber"/>
          <w:rFonts w:ascii="Arial" w:eastAsia="Arial" w:hAnsi="Arial" w:cs="Arial"/>
          <w:lang w:val="en-US"/>
        </w:rPr>
      </w:pPr>
      <w:r>
        <w:rPr>
          <w:rStyle w:val="PageNumber"/>
          <w:rFonts w:ascii="Arial" w:hAnsi="Arial"/>
          <w:lang w:val="en-US"/>
        </w:rPr>
        <w:t>Prior to the NDIS being rolled out, more than 2,300 people with disability were residing in large and small institutions that require redevelopme</w:t>
      </w:r>
      <w:r>
        <w:rPr>
          <w:rStyle w:val="PageNumber"/>
          <w:rFonts w:ascii="Arial" w:hAnsi="Arial"/>
          <w:lang w:val="en-US"/>
        </w:rPr>
        <w:t>nt</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b/>
          <w:bCs/>
        </w:rPr>
      </w:pPr>
      <w:r>
        <w:rPr>
          <w:rStyle w:val="PageNumber"/>
          <w:rFonts w:ascii="Arial" w:hAnsi="Arial"/>
          <w:b/>
          <w:bCs/>
          <w:lang w:val="en-US"/>
        </w:rPr>
        <w:t>Potential demand from people with extreme functional impairments may be greater than forecast:</w:t>
      </w:r>
    </w:p>
    <w:p w:rsidR="002514A1" w:rsidRDefault="00F17215">
      <w:pPr>
        <w:pStyle w:val="ListParagraph"/>
        <w:numPr>
          <w:ilvl w:val="0"/>
          <w:numId w:val="3"/>
        </w:numPr>
        <w:rPr>
          <w:rStyle w:val="PageNumber"/>
          <w:rFonts w:ascii="Arial" w:eastAsia="Arial" w:hAnsi="Arial" w:cs="Arial"/>
          <w:lang w:val="en-US"/>
        </w:rPr>
      </w:pPr>
      <w:r>
        <w:rPr>
          <w:rStyle w:val="PageNumber"/>
          <w:rFonts w:ascii="Arial" w:hAnsi="Arial"/>
          <w:lang w:val="en-US"/>
        </w:rPr>
        <w:t xml:space="preserve">More than 30,000 people with disability with a proxy measure of </w:t>
      </w:r>
      <w:r>
        <w:rPr>
          <w:rStyle w:val="PageNumber"/>
          <w:rFonts w:ascii="Arial" w:hAnsi="Arial"/>
          <w:lang w:val="en-US"/>
        </w:rPr>
        <w:t>“</w:t>
      </w:r>
      <w:r>
        <w:rPr>
          <w:rStyle w:val="PageNumber"/>
          <w:rFonts w:ascii="Arial" w:hAnsi="Arial"/>
          <w:lang w:val="en-US"/>
        </w:rPr>
        <w:t>extreme functional impairment</w:t>
      </w:r>
      <w:r>
        <w:rPr>
          <w:rStyle w:val="PageNumber"/>
          <w:rFonts w:ascii="Arial" w:hAnsi="Arial"/>
          <w:lang w:val="en-US"/>
        </w:rPr>
        <w:t xml:space="preserve">” </w:t>
      </w:r>
      <w:r>
        <w:rPr>
          <w:rStyle w:val="PageNumber"/>
          <w:rFonts w:ascii="Arial" w:hAnsi="Arial"/>
          <w:lang w:val="en-US"/>
        </w:rPr>
        <w:t>needs do not live in this existing SDA market but with family</w:t>
      </w:r>
      <w:r>
        <w:rPr>
          <w:rStyle w:val="PageNumber"/>
          <w:rFonts w:ascii="Arial" w:hAnsi="Arial"/>
          <w:lang w:val="en-US"/>
        </w:rPr>
        <w:t>, in nursing homes, hostels, public housing and the private rental market. This compares to an estimated 12,000 new SDA places</w:t>
      </w:r>
    </w:p>
    <w:p w:rsidR="002514A1" w:rsidRDefault="002514A1">
      <w:pPr>
        <w:pStyle w:val="ListParagraph"/>
        <w:ind w:left="480"/>
        <w:rPr>
          <w:rFonts w:ascii="Arial" w:eastAsia="Arial" w:hAnsi="Arial" w:cs="Arial"/>
        </w:rPr>
      </w:pPr>
    </w:p>
    <w:p w:rsidR="002514A1" w:rsidRDefault="00F17215">
      <w:pPr>
        <w:pStyle w:val="ListParagraph"/>
        <w:numPr>
          <w:ilvl w:val="0"/>
          <w:numId w:val="3"/>
        </w:numPr>
        <w:rPr>
          <w:rStyle w:val="PageNumber"/>
          <w:rFonts w:ascii="Arial" w:eastAsia="Arial" w:hAnsi="Arial" w:cs="Arial"/>
          <w:lang w:val="en-US"/>
        </w:rPr>
      </w:pPr>
      <w:r>
        <w:rPr>
          <w:rStyle w:val="PageNumber"/>
          <w:rFonts w:ascii="Arial" w:hAnsi="Arial"/>
          <w:lang w:val="en-US"/>
        </w:rPr>
        <w:t xml:space="preserve">Of known demand, a key priority is the 6,200 young people across Australia living in nursing homes. However early SDA data </w:t>
      </w:r>
      <w:r>
        <w:rPr>
          <w:rStyle w:val="PageNumber"/>
          <w:rFonts w:ascii="Arial" w:hAnsi="Arial"/>
          <w:lang w:val="en-US"/>
        </w:rPr>
        <w:t>released recently indicates that, while over 2,082 younger people living in nursing homes have become NDIS participants, only 23 (around 1%) have funding for SDA support so far; this is the cohort highlighted by the Productivity Commission</w:t>
      </w:r>
      <w:r>
        <w:rPr>
          <w:rStyle w:val="PageNumber"/>
          <w:rFonts w:ascii="Arial" w:hAnsi="Arial"/>
          <w:lang w:val="en-US"/>
        </w:rPr>
        <w:t>’</w:t>
      </w:r>
      <w:r>
        <w:rPr>
          <w:rStyle w:val="PageNumber"/>
          <w:rFonts w:ascii="Arial" w:hAnsi="Arial"/>
          <w:lang w:val="en-US"/>
        </w:rPr>
        <w:t>s report as a pr</w:t>
      </w:r>
      <w:r>
        <w:rPr>
          <w:rStyle w:val="PageNumber"/>
          <w:rFonts w:ascii="Arial" w:hAnsi="Arial"/>
          <w:lang w:val="en-US"/>
        </w:rPr>
        <w:t>iority for SDA support</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b/>
          <w:bCs/>
        </w:rPr>
      </w:pPr>
      <w:r>
        <w:rPr>
          <w:rStyle w:val="PageNumber"/>
          <w:rFonts w:ascii="Arial" w:hAnsi="Arial"/>
          <w:b/>
          <w:bCs/>
          <w:lang w:val="en-US"/>
        </w:rPr>
        <w:t xml:space="preserve">Many current SDA residents would be unlikely to meet the SDA eligibility criteria: </w:t>
      </w:r>
    </w:p>
    <w:p w:rsidR="002514A1" w:rsidRDefault="00F17215">
      <w:pPr>
        <w:pStyle w:val="ListParagraph"/>
        <w:numPr>
          <w:ilvl w:val="0"/>
          <w:numId w:val="5"/>
        </w:numPr>
        <w:rPr>
          <w:rStyle w:val="PageNumber"/>
          <w:rFonts w:ascii="Arial" w:eastAsia="Arial" w:hAnsi="Arial" w:cs="Arial"/>
          <w:lang w:val="en-US"/>
        </w:rPr>
      </w:pPr>
      <w:r>
        <w:rPr>
          <w:rStyle w:val="PageNumber"/>
          <w:rFonts w:ascii="Arial" w:hAnsi="Arial"/>
          <w:lang w:val="en-US"/>
        </w:rPr>
        <w:t>Less than half of current SDA residents have levels of support needs that would indicate eligibility for SDA funding support. Only 47% of current SD</w:t>
      </w:r>
      <w:r>
        <w:rPr>
          <w:rStyle w:val="PageNumber"/>
          <w:rFonts w:ascii="Arial" w:hAnsi="Arial"/>
          <w:lang w:val="en-US"/>
        </w:rPr>
        <w:t xml:space="preserve">A residents always require support with self-care, and just 32% always require support for mobility </w:t>
      </w:r>
    </w:p>
    <w:p w:rsidR="002514A1" w:rsidRDefault="00F17215">
      <w:pPr>
        <w:pStyle w:val="ListParagraph"/>
        <w:numPr>
          <w:ilvl w:val="0"/>
          <w:numId w:val="5"/>
        </w:numPr>
        <w:rPr>
          <w:rStyle w:val="PageNumber"/>
          <w:rFonts w:ascii="Arial" w:eastAsia="Arial" w:hAnsi="Arial" w:cs="Arial"/>
          <w:lang w:val="en-US"/>
        </w:rPr>
      </w:pPr>
      <w:r>
        <w:rPr>
          <w:rStyle w:val="PageNumber"/>
          <w:rFonts w:ascii="Arial" w:hAnsi="Arial"/>
          <w:lang w:val="en-US"/>
        </w:rPr>
        <w:t xml:space="preserve">Intellectual disability is the primary disability for 75% of current SDA residents, compared with just 45% of the identified potential demand for SDA </w:t>
      </w:r>
    </w:p>
    <w:p w:rsidR="002514A1" w:rsidRDefault="00F17215">
      <w:pPr>
        <w:pStyle w:val="ListParagraph"/>
        <w:numPr>
          <w:ilvl w:val="0"/>
          <w:numId w:val="5"/>
        </w:numPr>
        <w:rPr>
          <w:rStyle w:val="PageNumber"/>
          <w:rFonts w:ascii="Arial" w:eastAsia="Arial" w:hAnsi="Arial" w:cs="Arial"/>
          <w:lang w:val="en-US"/>
        </w:rPr>
      </w:pPr>
      <w:r>
        <w:rPr>
          <w:rStyle w:val="PageNumber"/>
          <w:rFonts w:ascii="Arial" w:hAnsi="Arial"/>
          <w:lang w:val="en-US"/>
        </w:rPr>
        <w:t>Peop</w:t>
      </w:r>
      <w:r>
        <w:rPr>
          <w:rStyle w:val="PageNumber"/>
          <w:rFonts w:ascii="Arial" w:hAnsi="Arial"/>
          <w:lang w:val="en-US"/>
        </w:rPr>
        <w:t>le with intellectual disability have been the main people in group homes but may not be eligible for SDA housing.</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b/>
          <w:bCs/>
        </w:rPr>
      </w:pPr>
      <w:r>
        <w:rPr>
          <w:rStyle w:val="PageNumber"/>
          <w:rFonts w:ascii="Arial" w:hAnsi="Arial"/>
          <w:b/>
          <w:bCs/>
          <w:lang w:val="en-US"/>
        </w:rPr>
        <w:lastRenderedPageBreak/>
        <w:t xml:space="preserve">Government initiatives are driving around half of new SDA builds: </w:t>
      </w:r>
    </w:p>
    <w:p w:rsidR="002514A1" w:rsidRDefault="00F17215">
      <w:pPr>
        <w:pStyle w:val="ListParagraph"/>
        <w:numPr>
          <w:ilvl w:val="0"/>
          <w:numId w:val="7"/>
        </w:numPr>
        <w:rPr>
          <w:rStyle w:val="PageNumber"/>
          <w:rFonts w:ascii="Arial" w:eastAsia="Arial" w:hAnsi="Arial" w:cs="Arial"/>
          <w:lang w:val="en-US"/>
        </w:rPr>
      </w:pPr>
      <w:r>
        <w:rPr>
          <w:rStyle w:val="PageNumber"/>
          <w:rFonts w:ascii="Arial" w:hAnsi="Arial"/>
          <w:lang w:val="en-US"/>
        </w:rPr>
        <w:t>The Summer Foundation</w:t>
      </w:r>
      <w:r>
        <w:rPr>
          <w:rStyle w:val="PageNumber"/>
          <w:rFonts w:ascii="Arial" w:hAnsi="Arial"/>
          <w:lang w:val="en-US"/>
        </w:rPr>
        <w:t>’</w:t>
      </w:r>
      <w:r>
        <w:rPr>
          <w:rStyle w:val="PageNumber"/>
          <w:rFonts w:ascii="Arial" w:hAnsi="Arial"/>
          <w:lang w:val="en-US"/>
        </w:rPr>
        <w:t>s survey of known SDA providers in September 2017 id</w:t>
      </w:r>
      <w:r>
        <w:rPr>
          <w:rStyle w:val="PageNumber"/>
          <w:rFonts w:ascii="Arial" w:hAnsi="Arial"/>
          <w:lang w:val="en-US"/>
        </w:rPr>
        <w:t>entified around 1,000 new SDA places under contract or construction</w:t>
      </w:r>
    </w:p>
    <w:p w:rsidR="002514A1" w:rsidRDefault="00F17215">
      <w:pPr>
        <w:pStyle w:val="ListParagraph"/>
        <w:numPr>
          <w:ilvl w:val="0"/>
          <w:numId w:val="7"/>
        </w:numPr>
        <w:rPr>
          <w:rStyle w:val="PageNumber"/>
          <w:rFonts w:ascii="Arial" w:eastAsia="Arial" w:hAnsi="Arial" w:cs="Arial"/>
          <w:lang w:val="en-US"/>
        </w:rPr>
      </w:pPr>
      <w:r>
        <w:rPr>
          <w:rStyle w:val="PageNumber"/>
          <w:rFonts w:ascii="Arial" w:hAnsi="Arial"/>
          <w:lang w:val="en-US"/>
        </w:rPr>
        <w:t xml:space="preserve">New development activity is presently dominated by government initiatives in NSW and South Australia which are contributing around 600 new SDA places </w:t>
      </w:r>
    </w:p>
    <w:p w:rsidR="002514A1" w:rsidRDefault="00F17215">
      <w:pPr>
        <w:pStyle w:val="ListParagraph"/>
        <w:numPr>
          <w:ilvl w:val="0"/>
          <w:numId w:val="7"/>
        </w:numPr>
        <w:rPr>
          <w:rStyle w:val="PageNumber"/>
          <w:rFonts w:ascii="Arial" w:eastAsia="Arial" w:hAnsi="Arial" w:cs="Arial"/>
          <w:lang w:val="en-US"/>
        </w:rPr>
      </w:pPr>
      <w:r>
        <w:rPr>
          <w:rStyle w:val="PageNumber"/>
          <w:rFonts w:ascii="Arial" w:hAnsi="Arial"/>
          <w:lang w:val="en-US"/>
        </w:rPr>
        <w:t>A range of other providers are commit</w:t>
      </w:r>
      <w:r>
        <w:rPr>
          <w:rStyle w:val="PageNumber"/>
          <w:rFonts w:ascii="Arial" w:hAnsi="Arial"/>
          <w:lang w:val="en-US"/>
        </w:rPr>
        <w:t xml:space="preserve">ting to new projects </w:t>
      </w:r>
      <w:r>
        <w:rPr>
          <w:rStyle w:val="PageNumber"/>
          <w:rFonts w:ascii="Arial" w:hAnsi="Arial"/>
          <w:lang w:val="en-US"/>
        </w:rPr>
        <w:t xml:space="preserve">– </w:t>
      </w:r>
      <w:r>
        <w:rPr>
          <w:rStyle w:val="PageNumber"/>
          <w:rFonts w:ascii="Arial" w:hAnsi="Arial"/>
          <w:lang w:val="en-US"/>
        </w:rPr>
        <w:t xml:space="preserve">including not-for-profit and private providers not previously associated with disability services </w:t>
      </w:r>
    </w:p>
    <w:p w:rsidR="002514A1" w:rsidRDefault="002514A1">
      <w:pPr>
        <w:pStyle w:val="Body"/>
        <w:rP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 xml:space="preserve">This early SDA supply and demand analysis has helped to inform potential SDA market players about the growth in supply needed, parts </w:t>
      </w:r>
      <w:r>
        <w:rPr>
          <w:rStyle w:val="PageNumber"/>
          <w:rFonts w:ascii="Arial" w:hAnsi="Arial"/>
          <w:lang w:val="en-US"/>
        </w:rPr>
        <w:t xml:space="preserve">of Australia that are likely to need new supply and some insights into the future demand profile. </w:t>
      </w:r>
    </w:p>
    <w:p w:rsidR="002514A1" w:rsidRDefault="002514A1">
      <w:pPr>
        <w:pStyle w:val="Body"/>
        <w:rPr>
          <w:rStyle w:val="PageNumber"/>
          <w:rFonts w:ascii="Arial" w:eastAsia="Arial" w:hAnsi="Arial" w:cs="Arial"/>
        </w:rPr>
      </w:pPr>
    </w:p>
    <w:p w:rsidR="002514A1" w:rsidRDefault="00F17215">
      <w:pPr>
        <w:pStyle w:val="Body"/>
        <w:rPr>
          <w:rFonts w:ascii="Arial" w:eastAsia="Arial" w:hAnsi="Arial" w:cs="Arial"/>
        </w:rPr>
      </w:pPr>
      <w:r>
        <w:rPr>
          <w:rStyle w:val="PageNumber"/>
          <w:rFonts w:ascii="Arial" w:hAnsi="Arial"/>
          <w:lang w:val="en-US"/>
        </w:rPr>
        <w:t>The study provided a clear indication that there is a need to build a very different profile of SDA supply in the future and the SDA Framework has the poten</w:t>
      </w:r>
      <w:r>
        <w:rPr>
          <w:rStyle w:val="PageNumber"/>
          <w:rFonts w:ascii="Arial" w:hAnsi="Arial"/>
          <w:lang w:val="en-US"/>
        </w:rPr>
        <w:t>tial to facilitate this diverse new supply.</w:t>
      </w:r>
    </w:p>
    <w:p w:rsidR="002514A1" w:rsidRDefault="002514A1">
      <w:pPr>
        <w:pStyle w:val="Body"/>
      </w:pPr>
    </w:p>
    <w:p w:rsidR="002514A1" w:rsidRDefault="002514A1">
      <w:pPr>
        <w:pStyle w:val="Body"/>
      </w:pPr>
    </w:p>
    <w:p w:rsidR="002514A1" w:rsidRDefault="002514A1">
      <w:pPr>
        <w:pStyle w:val="Body"/>
      </w:pPr>
    </w:p>
    <w:p w:rsidR="002514A1" w:rsidRDefault="00F17215">
      <w:pPr>
        <w:pStyle w:val="Body"/>
        <w:rPr>
          <w:rStyle w:val="PageNumber"/>
          <w:rFonts w:ascii="Arial" w:eastAsia="Arial" w:hAnsi="Arial" w:cs="Arial"/>
          <w:b/>
          <w:bCs/>
          <w:sz w:val="32"/>
          <w:szCs w:val="32"/>
        </w:rPr>
      </w:pPr>
      <w:r>
        <w:rPr>
          <w:rStyle w:val="PageNumber"/>
          <w:rFonts w:ascii="Arial" w:hAnsi="Arial"/>
          <w:b/>
          <w:bCs/>
          <w:sz w:val="32"/>
          <w:szCs w:val="32"/>
        </w:rPr>
        <w:t>THE SDA FRAMEWORK</w:t>
      </w:r>
    </w:p>
    <w:p w:rsidR="002514A1" w:rsidRDefault="002514A1">
      <w:pPr>
        <w:pStyle w:val="Body"/>
        <w:rPr>
          <w:rStyle w:val="PageNumber"/>
          <w:rFonts w:ascii="Arial" w:eastAsia="Arial" w:hAnsi="Arial" w:cs="Arial"/>
          <w:b/>
          <w:bCs/>
          <w:sz w:val="32"/>
          <w:szCs w:val="32"/>
        </w:rPr>
      </w:pPr>
    </w:p>
    <w:p w:rsidR="002514A1" w:rsidRDefault="00F17215">
      <w:pPr>
        <w:pStyle w:val="Default"/>
        <w:spacing w:after="240" w:line="360" w:lineRule="atLeast"/>
        <w:rPr>
          <w:rStyle w:val="PageNumber"/>
          <w:rFonts w:ascii="Arial" w:eastAsia="Arial" w:hAnsi="Arial" w:cs="Arial"/>
          <w:b/>
          <w:bCs/>
          <w:sz w:val="32"/>
          <w:szCs w:val="32"/>
        </w:rPr>
      </w:pPr>
      <w:r>
        <w:rPr>
          <w:rStyle w:val="PageNumber"/>
          <w:rFonts w:ascii="Arial" w:hAnsi="Arial"/>
          <w:sz w:val="24"/>
          <w:szCs w:val="24"/>
          <w:lang w:val="en-US"/>
        </w:rPr>
        <w:t xml:space="preserve">Specialist Disability Accommodation Pricing and Payments Framework (SDA </w:t>
      </w:r>
      <w:proofErr w:type="spellStart"/>
      <w:r>
        <w:rPr>
          <w:rStyle w:val="PageNumber"/>
          <w:rFonts w:ascii="Arial" w:hAnsi="Arial"/>
          <w:sz w:val="24"/>
          <w:szCs w:val="24"/>
          <w:lang w:val="en-US"/>
        </w:rPr>
        <w:t>Framewor</w:t>
      </w:r>
      <w:proofErr w:type="spellEnd"/>
      <w:r>
        <w:rPr>
          <w:rStyle w:val="PageNumber"/>
          <w:rFonts w:ascii="Arial" w:hAnsi="Arial"/>
          <w:sz w:val="24"/>
          <w:szCs w:val="24"/>
        </w:rPr>
        <w:t>k)</w:t>
      </w:r>
      <w:r>
        <w:rPr>
          <w:rStyle w:val="PageNumber"/>
          <w:rFonts w:ascii="Arial" w:hAnsi="Arial"/>
          <w:sz w:val="24"/>
          <w:szCs w:val="24"/>
          <w:lang w:val="en-US"/>
        </w:rPr>
        <w:t xml:space="preserve"> is a plan about the cost of disability housing which was developed in 2015.</w:t>
      </w:r>
    </w:p>
    <w:p w:rsidR="002514A1" w:rsidRDefault="00F17215">
      <w:pPr>
        <w:pStyle w:val="Default"/>
        <w:spacing w:after="240" w:line="360" w:lineRule="atLeast"/>
        <w:rPr>
          <w:rFonts w:ascii="Helvetica Neue" w:eastAsia="Helvetica Neue" w:hAnsi="Helvetica Neue" w:cs="Helvetica Neue"/>
          <w:sz w:val="32"/>
          <w:szCs w:val="32"/>
        </w:rPr>
      </w:pPr>
      <w:r>
        <w:rPr>
          <w:rStyle w:val="PageNumber"/>
          <w:rFonts w:ascii="Arial" w:hAnsi="Arial"/>
          <w:sz w:val="24"/>
          <w:szCs w:val="24"/>
          <w:lang w:val="en-US"/>
        </w:rPr>
        <w:t xml:space="preserve">The vision of </w:t>
      </w:r>
      <w:proofErr w:type="spellStart"/>
      <w:r>
        <w:rPr>
          <w:rStyle w:val="PageNumber"/>
          <w:rFonts w:ascii="Arial" w:hAnsi="Arial"/>
          <w:sz w:val="24"/>
          <w:szCs w:val="24"/>
          <w:lang w:val="en-US"/>
        </w:rPr>
        <w:t>he</w:t>
      </w:r>
      <w:proofErr w:type="spellEnd"/>
      <w:r>
        <w:rPr>
          <w:rStyle w:val="PageNumber"/>
          <w:rFonts w:ascii="Arial" w:hAnsi="Arial"/>
          <w:sz w:val="24"/>
          <w:szCs w:val="24"/>
          <w:lang w:val="en-US"/>
        </w:rPr>
        <w:t xml:space="preserve"> Specialist Disability Accommodation Pricing and Payments Framework (SDA </w:t>
      </w:r>
      <w:proofErr w:type="spellStart"/>
      <w:r>
        <w:rPr>
          <w:rStyle w:val="PageNumber"/>
          <w:rFonts w:ascii="Arial" w:hAnsi="Arial"/>
          <w:sz w:val="24"/>
          <w:szCs w:val="24"/>
          <w:lang w:val="en-US"/>
        </w:rPr>
        <w:t>Framewor</w:t>
      </w:r>
      <w:proofErr w:type="spellEnd"/>
      <w:r>
        <w:rPr>
          <w:rStyle w:val="PageNumber"/>
          <w:rFonts w:ascii="Arial" w:hAnsi="Arial"/>
          <w:sz w:val="24"/>
          <w:szCs w:val="24"/>
        </w:rPr>
        <w:t>k)</w:t>
      </w:r>
      <w:r>
        <w:rPr>
          <w:rStyle w:val="PageNumber"/>
          <w:rFonts w:ascii="Arial" w:hAnsi="Arial"/>
          <w:sz w:val="24"/>
          <w:szCs w:val="24"/>
          <w:lang w:val="en-US"/>
        </w:rPr>
        <w:t xml:space="preserve"> was</w:t>
      </w:r>
      <w:r>
        <w:rPr>
          <w:rStyle w:val="PageNumber"/>
          <w:rFonts w:ascii="Arial" w:hAnsi="Arial"/>
          <w:sz w:val="24"/>
          <w:szCs w:val="24"/>
        </w:rPr>
        <w:t xml:space="preserve"> </w:t>
      </w:r>
      <w:r>
        <w:rPr>
          <w:rStyle w:val="PageNumber"/>
          <w:rFonts w:ascii="Arial" w:hAnsi="Arial"/>
          <w:sz w:val="24"/>
          <w:szCs w:val="24"/>
          <w:lang w:val="en-US"/>
        </w:rPr>
        <w:t xml:space="preserve">a sustainable specialist disability accommodation market that fosters </w:t>
      </w:r>
      <w:r>
        <w:rPr>
          <w:rFonts w:ascii="Helvetica Neue" w:eastAsia="Helvetica Neue" w:hAnsi="Helvetica Neue" w:cs="Helvetica Neue"/>
          <w:sz w:val="32"/>
          <w:szCs w:val="32"/>
        </w:rPr>
        <w:tab/>
      </w:r>
    </w:p>
    <w:p w:rsidR="002514A1" w:rsidRDefault="00F17215">
      <w:pPr>
        <w:pStyle w:val="Default"/>
        <w:numPr>
          <w:ilvl w:val="0"/>
          <w:numId w:val="9"/>
        </w:numPr>
        <w:spacing w:after="240" w:line="360" w:lineRule="atLeast"/>
        <w:rPr>
          <w:rStyle w:val="PageNumber"/>
          <w:rFonts w:ascii="Arial" w:eastAsia="Arial" w:hAnsi="Arial" w:cs="Arial"/>
          <w:sz w:val="24"/>
          <w:szCs w:val="24"/>
          <w:lang w:val="en-US"/>
        </w:rPr>
      </w:pPr>
      <w:r>
        <w:rPr>
          <w:rStyle w:val="PageNumber"/>
          <w:rFonts w:ascii="Arial" w:hAnsi="Arial"/>
          <w:sz w:val="24"/>
          <w:szCs w:val="24"/>
          <w:lang w:val="en-US"/>
        </w:rPr>
        <w:t>cho</w:t>
      </w:r>
      <w:r>
        <w:rPr>
          <w:rStyle w:val="PageNumber"/>
          <w:rFonts w:ascii="Arial" w:hAnsi="Arial"/>
          <w:sz w:val="24"/>
          <w:szCs w:val="24"/>
          <w:lang w:val="en-US"/>
        </w:rPr>
        <w:t xml:space="preserve">ice and control, </w:t>
      </w:r>
    </w:p>
    <w:p w:rsidR="002514A1" w:rsidRDefault="00F17215">
      <w:pPr>
        <w:pStyle w:val="Default"/>
        <w:numPr>
          <w:ilvl w:val="0"/>
          <w:numId w:val="9"/>
        </w:numPr>
        <w:spacing w:after="240" w:line="360" w:lineRule="atLeast"/>
        <w:rPr>
          <w:rStyle w:val="PageNumber"/>
          <w:rFonts w:ascii="Arial" w:eastAsia="Arial" w:hAnsi="Arial" w:cs="Arial"/>
          <w:sz w:val="24"/>
          <w:szCs w:val="24"/>
          <w:lang w:val="fr-FR"/>
        </w:rPr>
      </w:pPr>
      <w:proofErr w:type="gramStart"/>
      <w:r>
        <w:rPr>
          <w:rStyle w:val="PageNumber"/>
          <w:rFonts w:ascii="Arial" w:hAnsi="Arial"/>
          <w:sz w:val="24"/>
          <w:szCs w:val="24"/>
          <w:lang w:val="fr-FR"/>
        </w:rPr>
        <w:t>encourages</w:t>
      </w:r>
      <w:proofErr w:type="gramEnd"/>
      <w:r>
        <w:rPr>
          <w:rStyle w:val="PageNumber"/>
          <w:rFonts w:ascii="Arial" w:hAnsi="Arial"/>
          <w:sz w:val="24"/>
          <w:szCs w:val="24"/>
          <w:lang w:val="fr-FR"/>
        </w:rPr>
        <w:t xml:space="preserve"> innovation,</w:t>
      </w:r>
    </w:p>
    <w:p w:rsidR="002514A1" w:rsidRDefault="00F17215">
      <w:pPr>
        <w:pStyle w:val="Default"/>
        <w:numPr>
          <w:ilvl w:val="0"/>
          <w:numId w:val="9"/>
        </w:numPr>
        <w:spacing w:after="240" w:line="360" w:lineRule="atLeast"/>
        <w:rPr>
          <w:rStyle w:val="PageNumber"/>
          <w:rFonts w:ascii="Arial" w:eastAsia="Arial" w:hAnsi="Arial" w:cs="Arial"/>
          <w:sz w:val="24"/>
          <w:szCs w:val="24"/>
          <w:lang w:val="en-US"/>
        </w:rPr>
      </w:pPr>
      <w:r>
        <w:rPr>
          <w:rStyle w:val="PageNumber"/>
          <w:rFonts w:ascii="Arial" w:hAnsi="Arial"/>
          <w:sz w:val="24"/>
          <w:szCs w:val="24"/>
          <w:lang w:val="en-US"/>
        </w:rPr>
        <w:t xml:space="preserve">provides options for participants, </w:t>
      </w:r>
    </w:p>
    <w:p w:rsidR="002514A1" w:rsidRDefault="00F17215">
      <w:pPr>
        <w:pStyle w:val="Default"/>
        <w:numPr>
          <w:ilvl w:val="0"/>
          <w:numId w:val="9"/>
        </w:numPr>
        <w:spacing w:after="240" w:line="360" w:lineRule="atLeast"/>
        <w:rPr>
          <w:rStyle w:val="PageNumber"/>
          <w:rFonts w:ascii="Arial" w:eastAsia="Arial" w:hAnsi="Arial" w:cs="Arial"/>
          <w:sz w:val="24"/>
          <w:szCs w:val="24"/>
          <w:lang w:val="en-US"/>
        </w:rPr>
      </w:pPr>
      <w:r>
        <w:rPr>
          <w:rStyle w:val="PageNumber"/>
          <w:rFonts w:ascii="Arial" w:hAnsi="Arial"/>
          <w:sz w:val="24"/>
          <w:szCs w:val="24"/>
          <w:lang w:val="en-US"/>
        </w:rPr>
        <w:t xml:space="preserve">continuity of supply and financial sustainability for governments, </w:t>
      </w: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hAnsi="Arial"/>
          <w:sz w:val="24"/>
          <w:szCs w:val="24"/>
          <w:lang w:val="en-US"/>
        </w:rPr>
        <w:t>participants and providers.</w:t>
      </w:r>
    </w:p>
    <w:p w:rsidR="002514A1" w:rsidRDefault="00F17215">
      <w:pPr>
        <w:pStyle w:val="Body"/>
        <w:rPr>
          <w:rStyle w:val="PageNumber"/>
          <w:rFonts w:ascii="Arial" w:eastAsia="Arial" w:hAnsi="Arial" w:cs="Arial"/>
        </w:rPr>
      </w:pPr>
      <w:proofErr w:type="gramStart"/>
      <w:r>
        <w:rPr>
          <w:rStyle w:val="PageNumber"/>
          <w:rFonts w:ascii="Arial" w:hAnsi="Arial"/>
          <w:lang w:val="en-US"/>
        </w:rPr>
        <w:t>However</w:t>
      </w:r>
      <w:proofErr w:type="gramEnd"/>
      <w:r>
        <w:rPr>
          <w:rStyle w:val="PageNumber"/>
          <w:rFonts w:ascii="Arial" w:hAnsi="Arial"/>
          <w:lang w:val="en-US"/>
        </w:rPr>
        <w:t xml:space="preserve"> the Framework </w:t>
      </w:r>
    </w:p>
    <w:p w:rsidR="002514A1" w:rsidRDefault="00F17215">
      <w:pPr>
        <w:pStyle w:val="Body"/>
        <w:numPr>
          <w:ilvl w:val="0"/>
          <w:numId w:val="10"/>
        </w:numPr>
        <w:rPr>
          <w:rStyle w:val="PageNumber"/>
          <w:rFonts w:ascii="Arial" w:eastAsia="Arial" w:hAnsi="Arial" w:cs="Arial"/>
        </w:rPr>
      </w:pPr>
      <w:r>
        <w:rPr>
          <w:rStyle w:val="PageNumber"/>
          <w:rFonts w:ascii="Arial" w:hAnsi="Arial"/>
          <w:lang w:val="en-US"/>
        </w:rPr>
        <w:t xml:space="preserve">is complicated to understand, </w:t>
      </w:r>
    </w:p>
    <w:p w:rsidR="002514A1" w:rsidRDefault="00F17215">
      <w:pPr>
        <w:pStyle w:val="Body"/>
        <w:numPr>
          <w:ilvl w:val="0"/>
          <w:numId w:val="10"/>
        </w:numPr>
        <w:rPr>
          <w:rStyle w:val="PageNumber"/>
          <w:rFonts w:ascii="Arial" w:eastAsia="Arial" w:hAnsi="Arial" w:cs="Arial"/>
        </w:rPr>
      </w:pPr>
      <w:r>
        <w:rPr>
          <w:rStyle w:val="PageNumber"/>
          <w:rFonts w:ascii="Arial" w:hAnsi="Arial"/>
          <w:lang w:val="en-US"/>
        </w:rPr>
        <w:t xml:space="preserve">lacks transparency in the detail and </w:t>
      </w:r>
    </w:p>
    <w:p w:rsidR="002514A1" w:rsidRDefault="00F17215">
      <w:pPr>
        <w:pStyle w:val="Body"/>
        <w:numPr>
          <w:ilvl w:val="0"/>
          <w:numId w:val="10"/>
        </w:numPr>
        <w:rPr>
          <w:rStyle w:val="PageNumber"/>
          <w:rFonts w:ascii="Arial" w:eastAsia="Arial" w:hAnsi="Arial" w:cs="Arial"/>
        </w:rPr>
      </w:pPr>
      <w:r>
        <w:rPr>
          <w:rStyle w:val="PageNumber"/>
          <w:rFonts w:ascii="Arial" w:hAnsi="Arial"/>
          <w:lang w:val="en-US"/>
        </w:rPr>
        <w:t xml:space="preserve">has presented significant implementation challenges for the NDIA. </w:t>
      </w:r>
    </w:p>
    <w:p w:rsidR="002514A1" w:rsidRDefault="002514A1">
      <w:pPr>
        <w:pStyle w:val="Body"/>
        <w:rPr>
          <w:rStyle w:val="PageNumber"/>
          <w:rFonts w:ascii="Arial" w:eastAsia="Arial" w:hAnsi="Arial" w:cs="Arial"/>
        </w:rPr>
      </w:pPr>
    </w:p>
    <w:p w:rsidR="002514A1" w:rsidRDefault="00F17215">
      <w:pPr>
        <w:pStyle w:val="Body"/>
        <w:rPr>
          <w:rStyle w:val="PageNumber"/>
          <w:rFonts w:ascii="Arial" w:eastAsia="Arial" w:hAnsi="Arial" w:cs="Arial"/>
        </w:rPr>
      </w:pPr>
      <w:r>
        <w:rPr>
          <w:rStyle w:val="PageNumber"/>
          <w:rFonts w:ascii="Arial" w:hAnsi="Arial"/>
          <w:lang w:val="en-US"/>
        </w:rPr>
        <w:t>The review identified how well SDA was going against some key questions</w:t>
      </w:r>
    </w:p>
    <w:p w:rsidR="002514A1" w:rsidRDefault="002514A1">
      <w:pPr>
        <w:pStyle w:val="Body"/>
        <w:rPr>
          <w:rStyle w:val="PageNumber"/>
          <w:rFonts w:ascii="Arial" w:eastAsia="Arial" w:hAnsi="Arial" w:cs="Arial"/>
        </w:rPr>
      </w:pPr>
    </w:p>
    <w:p w:rsidR="002514A1" w:rsidRDefault="00F17215">
      <w:pPr>
        <w:pStyle w:val="Body"/>
      </w:pPr>
      <w:r>
        <w:rPr>
          <w:rStyle w:val="PageNumber"/>
          <w:rFonts w:ascii="Arial Unicode MS" w:eastAsia="Arial Unicode MS" w:hAnsi="Arial Unicode MS" w:cs="Arial Unicode MS"/>
          <w:sz w:val="36"/>
          <w:szCs w:val="36"/>
        </w:rPr>
        <w:br w:type="page"/>
      </w:r>
    </w:p>
    <w:p w:rsidR="002514A1" w:rsidRDefault="002514A1">
      <w:pPr>
        <w:pStyle w:val="Body"/>
        <w:rPr>
          <w:rStyle w:val="PageNumber"/>
          <w:rFonts w:ascii="Arial" w:eastAsia="Arial" w:hAnsi="Arial" w:cs="Arial"/>
        </w:rPr>
      </w:pPr>
    </w:p>
    <w:p w:rsidR="002514A1" w:rsidRDefault="002514A1">
      <w:pPr>
        <w:pStyle w:val="Body"/>
        <w:rPr>
          <w:rFonts w:ascii="Arial" w:eastAsia="Arial" w:hAnsi="Arial" w:cs="Arial"/>
        </w:rPr>
      </w:pPr>
    </w:p>
    <w:p w:rsidR="002514A1" w:rsidRDefault="00F17215">
      <w:pPr>
        <w:pStyle w:val="Default"/>
        <w:spacing w:after="240" w:line="500" w:lineRule="atLeast"/>
        <w:rPr>
          <w:rStyle w:val="PageNumber"/>
          <w:rFonts w:ascii="Times" w:eastAsia="Times" w:hAnsi="Times" w:cs="Times"/>
        </w:rPr>
      </w:pPr>
      <w:r>
        <w:rPr>
          <w:rFonts w:ascii="Helvetica Neue" w:hAnsi="Helvetica Neue"/>
          <w:b/>
          <w:bCs/>
          <w:sz w:val="24"/>
          <w:szCs w:val="24"/>
        </w:rPr>
        <w:t>Does the SDA Framework support the process</w:t>
      </w:r>
      <w:r>
        <w:rPr>
          <w:rFonts w:ascii="Helvetica Neue" w:hAnsi="Helvetica Neue"/>
          <w:b/>
          <w:bCs/>
          <w:sz w:val="24"/>
          <w:szCs w:val="24"/>
        </w:rPr>
        <w:t xml:space="preserve"> of appropriately setting </w:t>
      </w:r>
      <w:r>
        <w:rPr>
          <w:rStyle w:val="PageNumber"/>
          <w:rFonts w:ascii="Helvetica Neue" w:hAnsi="Helvetica Neue"/>
          <w:b/>
          <w:bCs/>
          <w:lang w:val="en-US"/>
        </w:rPr>
        <w:t xml:space="preserve">prices? </w:t>
      </w:r>
    </w:p>
    <w:p w:rsidR="002514A1" w:rsidRDefault="00F17215">
      <w:pPr>
        <w:pStyle w:val="Default"/>
        <w:spacing w:after="240" w:line="360" w:lineRule="atLeast"/>
        <w:rPr>
          <w:rStyle w:val="PageNumber"/>
          <w:rFonts w:ascii="Times" w:eastAsia="Times" w:hAnsi="Times" w:cs="Times"/>
          <w:sz w:val="24"/>
          <w:szCs w:val="24"/>
        </w:rPr>
      </w:pPr>
      <w:r>
        <w:rPr>
          <w:rFonts w:ascii="Helvetica Neue" w:hAnsi="Helvetica Neue"/>
          <w:sz w:val="24"/>
          <w:szCs w:val="24"/>
        </w:rPr>
        <w:t xml:space="preserve">SDA base prices should result in reasonable spread of SDA dwelling types in a wide range of locations, particularly locations with good access to services and facilities. </w:t>
      </w:r>
    </w:p>
    <w:p w:rsidR="002514A1" w:rsidRDefault="00F17215">
      <w:pPr>
        <w:pStyle w:val="Default"/>
        <w:spacing w:after="240" w:line="360" w:lineRule="atLeast"/>
        <w:rPr>
          <w:rFonts w:ascii="Helvetica Neue" w:eastAsia="Helvetica Neue" w:hAnsi="Helvetica Neue" w:cs="Helvetica Neue"/>
          <w:sz w:val="24"/>
          <w:szCs w:val="24"/>
        </w:rPr>
      </w:pPr>
      <w:r>
        <w:rPr>
          <w:rFonts w:ascii="Helvetica Neue" w:hAnsi="Helvetica Neue"/>
          <w:sz w:val="24"/>
          <w:szCs w:val="24"/>
        </w:rPr>
        <w:t>Some concerns about the pricing approach are high</w:t>
      </w:r>
      <w:r>
        <w:rPr>
          <w:rFonts w:ascii="Helvetica Neue" w:hAnsi="Helvetica Neue"/>
          <w:sz w:val="24"/>
          <w:szCs w:val="24"/>
        </w:rPr>
        <w:t xml:space="preserve">lighted. </w:t>
      </w:r>
    </w:p>
    <w:p w:rsidR="002514A1" w:rsidRDefault="00F17215">
      <w:pPr>
        <w:pStyle w:val="Default"/>
        <w:spacing w:after="240" w:line="360" w:lineRule="atLeast"/>
        <w:rPr>
          <w:rFonts w:ascii="Helvetica Neue" w:eastAsia="Helvetica Neue" w:hAnsi="Helvetica Neue" w:cs="Helvetica Neue"/>
          <w:sz w:val="24"/>
          <w:szCs w:val="24"/>
        </w:rPr>
      </w:pPr>
      <w:r>
        <w:rPr>
          <w:rFonts w:ascii="Helvetica Neue" w:hAnsi="Helvetica Neue"/>
          <w:sz w:val="24"/>
          <w:szCs w:val="24"/>
        </w:rPr>
        <w:t xml:space="preserve">The land appreciation assumption is distorting the price setting for SDA and should be removed from the pricing formula. </w:t>
      </w:r>
      <w:r>
        <w:rPr>
          <w:rStyle w:val="PageNumber"/>
          <w:rFonts w:ascii="Arial" w:hAnsi="Arial"/>
          <w:sz w:val="24"/>
          <w:szCs w:val="24"/>
          <w:lang w:val="en-US"/>
        </w:rPr>
        <w:t xml:space="preserve">The formula assumes additional return is </w:t>
      </w:r>
      <w:proofErr w:type="spellStart"/>
      <w:r>
        <w:rPr>
          <w:rStyle w:val="PageNumber"/>
          <w:rFonts w:ascii="Arial" w:hAnsi="Arial"/>
          <w:sz w:val="24"/>
          <w:szCs w:val="24"/>
          <w:lang w:val="en-US"/>
        </w:rPr>
        <w:t>realised</w:t>
      </w:r>
      <w:proofErr w:type="spellEnd"/>
      <w:r>
        <w:rPr>
          <w:rStyle w:val="PageNumber"/>
          <w:rFonts w:ascii="Arial" w:hAnsi="Arial"/>
          <w:sz w:val="24"/>
          <w:szCs w:val="24"/>
          <w:lang w:val="en-US"/>
        </w:rPr>
        <w:t xml:space="preserve"> over the life of a property due to the underlying land value increasing ove</w:t>
      </w:r>
      <w:r>
        <w:rPr>
          <w:rStyle w:val="PageNumber"/>
          <w:rFonts w:ascii="Arial" w:hAnsi="Arial"/>
          <w:sz w:val="24"/>
          <w:szCs w:val="24"/>
          <w:lang w:val="en-US"/>
        </w:rPr>
        <w:t>r time.</w:t>
      </w:r>
      <w:r>
        <w:rPr>
          <w:rStyle w:val="PageNumber"/>
          <w:rFonts w:ascii="Times New Roman" w:hAnsi="Times New Roman"/>
          <w:b/>
          <w:bCs/>
          <w:i/>
          <w:iCs/>
          <w:sz w:val="20"/>
          <w:szCs w:val="20"/>
        </w:rPr>
        <w:t xml:space="preserve"> </w:t>
      </w:r>
      <w:r>
        <w:rPr>
          <w:rStyle w:val="PageNumber"/>
          <w:rFonts w:ascii="Arial" w:hAnsi="Arial"/>
          <w:sz w:val="24"/>
          <w:szCs w:val="24"/>
          <w:lang w:val="en-US"/>
        </w:rPr>
        <w:t xml:space="preserve">Land price appreciation benefits can only be </w:t>
      </w:r>
      <w:proofErr w:type="spellStart"/>
      <w:r>
        <w:rPr>
          <w:rStyle w:val="PageNumber"/>
          <w:rFonts w:ascii="Arial" w:hAnsi="Arial"/>
          <w:sz w:val="24"/>
          <w:szCs w:val="24"/>
          <w:lang w:val="en-US"/>
        </w:rPr>
        <w:t>realised</w:t>
      </w:r>
      <w:proofErr w:type="spellEnd"/>
      <w:r>
        <w:rPr>
          <w:rStyle w:val="PageNumber"/>
          <w:rFonts w:ascii="Arial" w:hAnsi="Arial"/>
          <w:sz w:val="24"/>
          <w:szCs w:val="24"/>
          <w:lang w:val="en-US"/>
        </w:rPr>
        <w:t xml:space="preserve"> at the point of sale. Land price increases should not be factored into the pricing formula because this assumes SDA providers sell their SDA assets within the 20-year investment period to </w:t>
      </w:r>
      <w:proofErr w:type="spellStart"/>
      <w:r>
        <w:rPr>
          <w:rStyle w:val="PageNumber"/>
          <w:rFonts w:ascii="Arial" w:hAnsi="Arial"/>
          <w:sz w:val="24"/>
          <w:szCs w:val="24"/>
          <w:lang w:val="en-US"/>
        </w:rPr>
        <w:t>realis</w:t>
      </w:r>
      <w:r>
        <w:rPr>
          <w:rStyle w:val="PageNumber"/>
          <w:rFonts w:ascii="Arial" w:hAnsi="Arial"/>
          <w:sz w:val="24"/>
          <w:szCs w:val="24"/>
          <w:lang w:val="en-US"/>
        </w:rPr>
        <w:t>e</w:t>
      </w:r>
      <w:proofErr w:type="spellEnd"/>
      <w:r>
        <w:rPr>
          <w:rStyle w:val="PageNumber"/>
          <w:rFonts w:ascii="Arial" w:hAnsi="Arial"/>
          <w:sz w:val="24"/>
          <w:szCs w:val="24"/>
          <w:lang w:val="en-US"/>
        </w:rPr>
        <w:t xml:space="preserve"> capital gains. Long-term investors are looking for long-term cash flow returns, not capital gains.</w:t>
      </w:r>
    </w:p>
    <w:p w:rsidR="002514A1" w:rsidRDefault="00F17215">
      <w:pPr>
        <w:pStyle w:val="Default"/>
        <w:spacing w:after="240" w:line="360" w:lineRule="atLeast"/>
        <w:rPr>
          <w:rStyle w:val="PageNumber"/>
          <w:rFonts w:ascii="Times" w:eastAsia="Times" w:hAnsi="Times" w:cs="Times"/>
          <w:sz w:val="24"/>
          <w:szCs w:val="24"/>
        </w:rPr>
      </w:pPr>
      <w:r>
        <w:rPr>
          <w:rFonts w:ascii="Helvetica Neue" w:hAnsi="Helvetica Neue"/>
          <w:sz w:val="24"/>
          <w:szCs w:val="24"/>
        </w:rPr>
        <w:t>Location factors are not working to enable development in many high value areas.</w:t>
      </w:r>
    </w:p>
    <w:p w:rsidR="002514A1" w:rsidRDefault="00F17215">
      <w:pPr>
        <w:pStyle w:val="Default"/>
        <w:spacing w:after="240" w:line="360" w:lineRule="atLeast"/>
        <w:rPr>
          <w:rFonts w:ascii="Helvetica Neue" w:eastAsia="Helvetica Neue" w:hAnsi="Helvetica Neue" w:cs="Helvetica Neue"/>
          <w:sz w:val="24"/>
          <w:szCs w:val="24"/>
        </w:rPr>
      </w:pPr>
      <w:r>
        <w:rPr>
          <w:rFonts w:ascii="Helvetica Neue" w:hAnsi="Helvetica Neue"/>
          <w:sz w:val="24"/>
          <w:szCs w:val="24"/>
        </w:rPr>
        <w:t xml:space="preserve">The terminology of </w:t>
      </w:r>
      <w:r>
        <w:rPr>
          <w:rFonts w:ascii="Helvetica Neue" w:hAnsi="Helvetica Neue"/>
          <w:sz w:val="24"/>
          <w:szCs w:val="24"/>
          <w:lang w:val="de-DE"/>
        </w:rPr>
        <w:t>“</w:t>
      </w:r>
      <w:r>
        <w:rPr>
          <w:rFonts w:ascii="Helvetica Neue" w:hAnsi="Helvetica Neue"/>
          <w:sz w:val="24"/>
          <w:szCs w:val="24"/>
        </w:rPr>
        <w:t>group homes</w:t>
      </w:r>
      <w:r>
        <w:rPr>
          <w:rFonts w:ascii="Helvetica Neue" w:hAnsi="Helvetica Neue"/>
          <w:sz w:val="24"/>
          <w:szCs w:val="24"/>
        </w:rPr>
        <w:t xml:space="preserve">” </w:t>
      </w:r>
      <w:r>
        <w:rPr>
          <w:rFonts w:ascii="Helvetica Neue" w:hAnsi="Helvetica Neue"/>
          <w:sz w:val="24"/>
          <w:szCs w:val="24"/>
        </w:rPr>
        <w:t xml:space="preserve">in the SDA Price Guide is outmoded and it is recommended the term is replaced by using the term </w:t>
      </w:r>
      <w:r>
        <w:rPr>
          <w:rFonts w:ascii="Helvetica Neue" w:hAnsi="Helvetica Neue"/>
          <w:sz w:val="24"/>
          <w:szCs w:val="24"/>
          <w:lang w:val="de-DE"/>
        </w:rPr>
        <w:t>“</w:t>
      </w:r>
      <w:r>
        <w:rPr>
          <w:rFonts w:ascii="Helvetica Neue" w:hAnsi="Helvetica Neue"/>
          <w:sz w:val="24"/>
          <w:szCs w:val="24"/>
        </w:rPr>
        <w:t>house</w:t>
      </w:r>
      <w:r>
        <w:rPr>
          <w:rFonts w:ascii="Helvetica Neue" w:hAnsi="Helvetica Neue"/>
          <w:sz w:val="24"/>
          <w:szCs w:val="24"/>
        </w:rPr>
        <w:t xml:space="preserve">” </w:t>
      </w:r>
      <w:r>
        <w:rPr>
          <w:rFonts w:ascii="Helvetica Neue" w:hAnsi="Helvetica Neue"/>
          <w:sz w:val="24"/>
          <w:szCs w:val="24"/>
        </w:rPr>
        <w:t xml:space="preserve">across all relevant building types. </w:t>
      </w:r>
    </w:p>
    <w:p w:rsidR="002514A1" w:rsidRDefault="00F17215">
      <w:pPr>
        <w:pStyle w:val="Default"/>
        <w:spacing w:after="240" w:line="360" w:lineRule="atLeast"/>
        <w:rPr>
          <w:rStyle w:val="PageNumber"/>
          <w:rFonts w:ascii="Times" w:eastAsia="Times" w:hAnsi="Times" w:cs="Times"/>
          <w:b/>
          <w:bCs/>
          <w:sz w:val="26"/>
          <w:szCs w:val="26"/>
        </w:rPr>
      </w:pPr>
      <w:r>
        <w:rPr>
          <w:rFonts w:ascii="Helvetica Neue" w:hAnsi="Helvetica Neue"/>
          <w:b/>
          <w:bCs/>
          <w:sz w:val="26"/>
          <w:szCs w:val="26"/>
        </w:rPr>
        <w:t>Does the SDA Framework stimulate the required volume of supply of SDA houses</w:t>
      </w:r>
      <w:r>
        <w:rPr>
          <w:rFonts w:ascii="Helvetica Neue" w:hAnsi="Helvetica Neue"/>
          <w:b/>
          <w:bCs/>
          <w:sz w:val="26"/>
          <w:szCs w:val="26"/>
          <w:lang w:val="ru-RU"/>
        </w:rPr>
        <w:t xml:space="preserve">? </w:t>
      </w:r>
    </w:p>
    <w:p w:rsidR="002514A1" w:rsidRDefault="00F17215">
      <w:pPr>
        <w:pStyle w:val="Default"/>
        <w:spacing w:after="240" w:line="360" w:lineRule="atLeast"/>
        <w:rPr>
          <w:rStyle w:val="PageNumber"/>
          <w:rFonts w:ascii="Arial" w:eastAsia="Arial" w:hAnsi="Arial" w:cs="Arial"/>
          <w:sz w:val="24"/>
          <w:szCs w:val="24"/>
        </w:rPr>
      </w:pPr>
      <w:r>
        <w:rPr>
          <w:rFonts w:ascii="Helvetica Neue" w:hAnsi="Helvetica Neue"/>
          <w:sz w:val="24"/>
          <w:szCs w:val="24"/>
        </w:rPr>
        <w:t>5-year price reviews create uncertai</w:t>
      </w:r>
      <w:r>
        <w:rPr>
          <w:rFonts w:ascii="Helvetica Neue" w:hAnsi="Helvetica Neue"/>
          <w:sz w:val="24"/>
          <w:szCs w:val="24"/>
        </w:rPr>
        <w:t xml:space="preserve">nty for providers and investors. There should be better information made available on the timing and methodology for the price reviews to reduce uncertainty about base price changes over a 20-year investment in </w:t>
      </w:r>
      <w:proofErr w:type="gramStart"/>
      <w:r>
        <w:rPr>
          <w:rFonts w:ascii="Helvetica Neue" w:hAnsi="Helvetica Neue"/>
          <w:sz w:val="24"/>
          <w:szCs w:val="24"/>
        </w:rPr>
        <w:t>a</w:t>
      </w:r>
      <w:proofErr w:type="gramEnd"/>
      <w:r>
        <w:rPr>
          <w:rFonts w:ascii="Helvetica Neue" w:hAnsi="Helvetica Neue"/>
          <w:sz w:val="24"/>
          <w:szCs w:val="24"/>
        </w:rPr>
        <w:t xml:space="preserve"> SDA property. Pricing for the various SDA d</w:t>
      </w:r>
      <w:r>
        <w:rPr>
          <w:rFonts w:ascii="Helvetica Neue" w:hAnsi="Helvetica Neue"/>
          <w:sz w:val="24"/>
          <w:szCs w:val="24"/>
        </w:rPr>
        <w:t>welling t</w:t>
      </w:r>
      <w:r>
        <w:rPr>
          <w:rStyle w:val="PageNumber"/>
          <w:rFonts w:ascii="Arial" w:hAnsi="Arial"/>
          <w:sz w:val="24"/>
          <w:szCs w:val="24"/>
          <w:lang w:val="en-US"/>
        </w:rPr>
        <w:t>ypes should be fixed between reviews for all new SDA in that time period.</w:t>
      </w:r>
      <w:r>
        <w:rPr>
          <w:rStyle w:val="PageNumber"/>
          <w:rFonts w:ascii="Arial Unicode MS" w:hAnsi="Arial Unicode MS"/>
          <w:sz w:val="32"/>
          <w:szCs w:val="32"/>
        </w:rPr>
        <w:br/>
      </w:r>
    </w:p>
    <w:p w:rsidR="002514A1" w:rsidRDefault="00F17215">
      <w:pPr>
        <w:pStyle w:val="Default"/>
        <w:spacing w:line="280" w:lineRule="atLeast"/>
        <w:rPr>
          <w:rFonts w:ascii="Arial" w:eastAsia="Arial" w:hAnsi="Arial" w:cs="Arial"/>
          <w:sz w:val="24"/>
          <w:szCs w:val="24"/>
        </w:rPr>
      </w:pPr>
      <w:r>
        <w:rPr>
          <w:rFonts w:ascii="Arial" w:eastAsia="Arial" w:hAnsi="Arial" w:cs="Arial"/>
          <w:noProof/>
          <w:sz w:val="24"/>
          <w:szCs w:val="24"/>
        </w:rPr>
        <w:drawing>
          <wp:inline distT="0" distB="0" distL="0" distR="0">
            <wp:extent cx="5270500" cy="111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4image21032.png"/>
                    <pic:cNvPicPr>
                      <a:picLocks noChangeAspect="1"/>
                    </pic:cNvPicPr>
                  </pic:nvPicPr>
                  <pic:blipFill>
                    <a:blip r:embed="rId10">
                      <a:extLst/>
                    </a:blip>
                    <a:stretch>
                      <a:fillRect/>
                    </a:stretch>
                  </pic:blipFill>
                  <pic:spPr>
                    <a:xfrm>
                      <a:off x="0" y="0"/>
                      <a:ext cx="5270500" cy="11191"/>
                    </a:xfrm>
                    <a:prstGeom prst="rect">
                      <a:avLst/>
                    </a:prstGeom>
                    <a:ln w="12700" cap="flat">
                      <a:noFill/>
                      <a:miter lim="400000"/>
                    </a:ln>
                    <a:effectLst/>
                  </pic:spPr>
                </pic:pic>
              </a:graphicData>
            </a:graphic>
          </wp:inline>
        </w:drawing>
      </w:r>
      <w:r>
        <w:rPr>
          <w:rFonts w:ascii="Arial" w:hAnsi="Arial"/>
          <w:sz w:val="24"/>
          <w:szCs w:val="24"/>
        </w:rPr>
        <w:t xml:space="preserve"> </w:t>
      </w:r>
    </w:p>
    <w:p w:rsidR="002514A1" w:rsidRDefault="00F17215">
      <w:pPr>
        <w:pStyle w:val="Default"/>
        <w:spacing w:after="240" w:line="360" w:lineRule="atLeast"/>
        <w:rPr>
          <w:rStyle w:val="PageNumber"/>
          <w:rFonts w:ascii="Times" w:eastAsia="Times" w:hAnsi="Times" w:cs="Times"/>
          <w:sz w:val="24"/>
          <w:szCs w:val="24"/>
        </w:rPr>
      </w:pPr>
      <w:r>
        <w:rPr>
          <w:rFonts w:ascii="Arial" w:hAnsi="Arial"/>
          <w:sz w:val="24"/>
          <w:szCs w:val="24"/>
          <w:lang w:val="fr-FR"/>
        </w:rPr>
        <w:t xml:space="preserve">Data </w:t>
      </w:r>
      <w:proofErr w:type="spellStart"/>
      <w:r>
        <w:rPr>
          <w:rFonts w:ascii="Arial" w:hAnsi="Arial"/>
          <w:sz w:val="24"/>
          <w:szCs w:val="24"/>
          <w:lang w:val="fr-FR"/>
        </w:rPr>
        <w:t>is</w:t>
      </w:r>
      <w:proofErr w:type="spellEnd"/>
      <w:r>
        <w:rPr>
          <w:rFonts w:ascii="Arial" w:hAnsi="Arial"/>
          <w:sz w:val="24"/>
          <w:szCs w:val="24"/>
          <w:lang w:val="fr-FR"/>
        </w:rPr>
        <w:t xml:space="preserve"> </w:t>
      </w:r>
      <w:proofErr w:type="spellStart"/>
      <w:r>
        <w:rPr>
          <w:rFonts w:ascii="Arial" w:hAnsi="Arial"/>
          <w:sz w:val="24"/>
          <w:szCs w:val="24"/>
          <w:lang w:val="fr-FR"/>
        </w:rPr>
        <w:t>especially</w:t>
      </w:r>
      <w:proofErr w:type="spellEnd"/>
      <w:r>
        <w:rPr>
          <w:rFonts w:ascii="Arial" w:hAnsi="Arial"/>
          <w:sz w:val="24"/>
          <w:szCs w:val="24"/>
          <w:lang w:val="fr-FR"/>
        </w:rPr>
        <w:t xml:space="preserve"> important in the </w:t>
      </w:r>
      <w:proofErr w:type="spellStart"/>
      <w:r>
        <w:rPr>
          <w:rFonts w:ascii="Arial" w:hAnsi="Arial"/>
          <w:sz w:val="24"/>
          <w:szCs w:val="24"/>
          <w:lang w:val="fr-FR"/>
        </w:rPr>
        <w:t>early</w:t>
      </w:r>
      <w:proofErr w:type="spellEnd"/>
      <w:r>
        <w:rPr>
          <w:rFonts w:ascii="Arial" w:hAnsi="Arial"/>
          <w:sz w:val="24"/>
          <w:szCs w:val="24"/>
          <w:lang w:val="fr-FR"/>
        </w:rPr>
        <w:t xml:space="preserve"> stages of </w:t>
      </w:r>
      <w:proofErr w:type="spellStart"/>
      <w:r>
        <w:rPr>
          <w:rFonts w:ascii="Arial" w:hAnsi="Arial"/>
          <w:sz w:val="24"/>
          <w:szCs w:val="24"/>
          <w:lang w:val="fr-FR"/>
        </w:rPr>
        <w:t>market</w:t>
      </w:r>
      <w:proofErr w:type="spellEnd"/>
      <w:r>
        <w:rPr>
          <w:rFonts w:ascii="Arial" w:hAnsi="Arial"/>
          <w:sz w:val="24"/>
          <w:szCs w:val="24"/>
          <w:lang w:val="fr-FR"/>
        </w:rPr>
        <w:t xml:space="preserve"> </w:t>
      </w:r>
      <w:proofErr w:type="spellStart"/>
      <w:r>
        <w:rPr>
          <w:rFonts w:ascii="Arial" w:hAnsi="Arial"/>
          <w:sz w:val="24"/>
          <w:szCs w:val="24"/>
          <w:lang w:val="fr-FR"/>
        </w:rPr>
        <w:t>growth</w:t>
      </w:r>
      <w:proofErr w:type="spellEnd"/>
      <w:r>
        <w:rPr>
          <w:rFonts w:ascii="Arial" w:hAnsi="Arial"/>
          <w:sz w:val="24"/>
          <w:szCs w:val="24"/>
          <w:lang w:val="fr-FR"/>
        </w:rPr>
        <w:t xml:space="preserve">, but SDA data </w:t>
      </w:r>
      <w:proofErr w:type="spellStart"/>
      <w:r>
        <w:rPr>
          <w:rFonts w:ascii="Arial" w:hAnsi="Arial"/>
          <w:sz w:val="24"/>
          <w:szCs w:val="24"/>
          <w:lang w:val="fr-FR"/>
        </w:rPr>
        <w:t>is</w:t>
      </w:r>
      <w:proofErr w:type="spellEnd"/>
      <w:r>
        <w:rPr>
          <w:rFonts w:ascii="Arial" w:hAnsi="Arial"/>
          <w:sz w:val="24"/>
          <w:szCs w:val="24"/>
          <w:lang w:val="fr-FR"/>
        </w:rPr>
        <w:t xml:space="preserve"> not </w:t>
      </w:r>
      <w:proofErr w:type="spellStart"/>
      <w:r>
        <w:rPr>
          <w:rFonts w:ascii="Arial" w:hAnsi="Arial"/>
          <w:sz w:val="24"/>
          <w:szCs w:val="24"/>
          <w:lang w:val="fr-FR"/>
        </w:rPr>
        <w:t>yet</w:t>
      </w:r>
      <w:proofErr w:type="spellEnd"/>
      <w:r>
        <w:rPr>
          <w:rFonts w:ascii="Arial" w:hAnsi="Arial"/>
          <w:sz w:val="24"/>
          <w:szCs w:val="24"/>
          <w:lang w:val="fr-FR"/>
        </w:rPr>
        <w:t xml:space="preserve"> </w:t>
      </w:r>
      <w:proofErr w:type="spellStart"/>
      <w:r>
        <w:rPr>
          <w:rFonts w:ascii="Arial" w:hAnsi="Arial"/>
          <w:sz w:val="24"/>
          <w:szCs w:val="24"/>
          <w:lang w:val="fr-FR"/>
        </w:rPr>
        <w:t>being</w:t>
      </w:r>
      <w:proofErr w:type="spellEnd"/>
      <w:r>
        <w:rPr>
          <w:rFonts w:ascii="Arial" w:hAnsi="Arial"/>
          <w:sz w:val="24"/>
          <w:szCs w:val="24"/>
          <w:lang w:val="fr-FR"/>
        </w:rPr>
        <w:t xml:space="preserve"> </w:t>
      </w:r>
      <w:proofErr w:type="spellStart"/>
      <w:r>
        <w:rPr>
          <w:rFonts w:ascii="Arial" w:hAnsi="Arial"/>
          <w:sz w:val="24"/>
          <w:szCs w:val="24"/>
          <w:lang w:val="fr-FR"/>
        </w:rPr>
        <w:t>published</w:t>
      </w:r>
      <w:proofErr w:type="spellEnd"/>
      <w:r>
        <w:rPr>
          <w:rFonts w:ascii="Arial" w:hAnsi="Arial"/>
          <w:sz w:val="24"/>
          <w:szCs w:val="24"/>
          <w:lang w:val="fr-FR"/>
        </w:rPr>
        <w:t xml:space="preserve"> by the NDIA. The </w:t>
      </w:r>
      <w:proofErr w:type="spellStart"/>
      <w:r>
        <w:rPr>
          <w:rFonts w:ascii="Arial" w:hAnsi="Arial"/>
          <w:sz w:val="24"/>
          <w:szCs w:val="24"/>
          <w:lang w:val="fr-FR"/>
        </w:rPr>
        <w:t>agency</w:t>
      </w:r>
      <w:proofErr w:type="spellEnd"/>
      <w:r>
        <w:rPr>
          <w:rFonts w:ascii="Arial" w:hAnsi="Arial"/>
          <w:sz w:val="24"/>
          <w:szCs w:val="24"/>
          <w:lang w:val="fr-FR"/>
        </w:rPr>
        <w:t xml:space="preserve"> </w:t>
      </w:r>
      <w:proofErr w:type="spellStart"/>
      <w:r>
        <w:rPr>
          <w:rFonts w:ascii="Arial" w:hAnsi="Arial"/>
          <w:sz w:val="24"/>
          <w:szCs w:val="24"/>
          <w:lang w:val="fr-FR"/>
        </w:rPr>
        <w:t>should</w:t>
      </w:r>
      <w:proofErr w:type="spellEnd"/>
      <w:r>
        <w:rPr>
          <w:rFonts w:ascii="Arial" w:hAnsi="Arial"/>
          <w:sz w:val="24"/>
          <w:szCs w:val="24"/>
          <w:lang w:val="fr-FR"/>
        </w:rPr>
        <w:t xml:space="preserve"> start </w:t>
      </w:r>
      <w:proofErr w:type="spellStart"/>
      <w:r>
        <w:rPr>
          <w:rFonts w:ascii="Arial" w:hAnsi="Arial"/>
          <w:sz w:val="24"/>
          <w:szCs w:val="24"/>
          <w:lang w:val="fr-FR"/>
        </w:rPr>
        <w:t>publishing</w:t>
      </w:r>
      <w:proofErr w:type="spellEnd"/>
      <w:r>
        <w:rPr>
          <w:rFonts w:ascii="Arial" w:hAnsi="Arial"/>
          <w:sz w:val="24"/>
          <w:szCs w:val="24"/>
          <w:lang w:val="fr-FR"/>
        </w:rPr>
        <w:t xml:space="preserve"> </w:t>
      </w:r>
      <w:proofErr w:type="spellStart"/>
      <w:r>
        <w:rPr>
          <w:rFonts w:ascii="Arial" w:hAnsi="Arial"/>
          <w:sz w:val="24"/>
          <w:szCs w:val="24"/>
          <w:lang w:val="fr-FR"/>
        </w:rPr>
        <w:t>quarterly</w:t>
      </w:r>
      <w:proofErr w:type="spellEnd"/>
      <w:r>
        <w:rPr>
          <w:rFonts w:ascii="Arial" w:hAnsi="Arial"/>
          <w:sz w:val="24"/>
          <w:szCs w:val="24"/>
          <w:lang w:val="fr-FR"/>
        </w:rPr>
        <w:t xml:space="preserve"> data by the end of 2018 and </w:t>
      </w:r>
      <w:proofErr w:type="spellStart"/>
      <w:r>
        <w:rPr>
          <w:rFonts w:ascii="Arial" w:hAnsi="Arial"/>
          <w:sz w:val="24"/>
          <w:szCs w:val="24"/>
          <w:lang w:val="fr-FR"/>
        </w:rPr>
        <w:t>establish</w:t>
      </w:r>
      <w:proofErr w:type="spellEnd"/>
      <w:r>
        <w:rPr>
          <w:rFonts w:ascii="Arial" w:hAnsi="Arial"/>
          <w:sz w:val="24"/>
          <w:szCs w:val="24"/>
          <w:lang w:val="fr-FR"/>
        </w:rPr>
        <w:t xml:space="preserve"> a </w:t>
      </w:r>
      <w:proofErr w:type="spellStart"/>
      <w:r>
        <w:rPr>
          <w:rFonts w:ascii="Arial" w:hAnsi="Arial"/>
          <w:sz w:val="24"/>
          <w:szCs w:val="24"/>
          <w:lang w:val="fr-FR"/>
        </w:rPr>
        <w:t>mechanism</w:t>
      </w:r>
      <w:proofErr w:type="spellEnd"/>
      <w:r>
        <w:rPr>
          <w:rFonts w:ascii="Arial" w:hAnsi="Arial"/>
          <w:sz w:val="24"/>
          <w:szCs w:val="24"/>
          <w:lang w:val="fr-FR"/>
        </w:rPr>
        <w:t xml:space="preserve"> </w:t>
      </w:r>
      <w:proofErr w:type="spellStart"/>
      <w:r>
        <w:rPr>
          <w:rFonts w:ascii="Arial" w:hAnsi="Arial"/>
          <w:sz w:val="24"/>
          <w:szCs w:val="24"/>
          <w:lang w:val="fr-FR"/>
        </w:rPr>
        <w:t>that</w:t>
      </w:r>
      <w:proofErr w:type="spellEnd"/>
      <w:r>
        <w:rPr>
          <w:rFonts w:ascii="Arial" w:hAnsi="Arial"/>
          <w:sz w:val="24"/>
          <w:szCs w:val="24"/>
          <w:lang w:val="fr-FR"/>
        </w:rPr>
        <w:t xml:space="preserve"> </w:t>
      </w:r>
      <w:r>
        <w:rPr>
          <w:rFonts w:ascii="Arial" w:hAnsi="Arial"/>
          <w:sz w:val="24"/>
          <w:szCs w:val="24"/>
          <w:lang w:val="fr-FR"/>
        </w:rPr>
        <w:lastRenderedPageBreak/>
        <w:t xml:space="preserve">enables </w:t>
      </w:r>
      <w:proofErr w:type="spellStart"/>
      <w:r>
        <w:rPr>
          <w:rFonts w:ascii="Arial" w:hAnsi="Arial"/>
          <w:sz w:val="24"/>
          <w:szCs w:val="24"/>
          <w:lang w:val="fr-FR"/>
        </w:rPr>
        <w:t>noti</w:t>
      </w:r>
      <w:r>
        <w:rPr>
          <w:rFonts w:ascii="Arial" w:hAnsi="Arial"/>
          <w:sz w:val="24"/>
          <w:szCs w:val="24"/>
        </w:rPr>
        <w:t>fication</w:t>
      </w:r>
      <w:proofErr w:type="spellEnd"/>
      <w:r>
        <w:rPr>
          <w:rFonts w:ascii="Arial" w:hAnsi="Arial"/>
          <w:sz w:val="24"/>
          <w:szCs w:val="24"/>
        </w:rPr>
        <w:t xml:space="preserve"> of forthcoming SDA development (before enrolment stage). </w:t>
      </w:r>
    </w:p>
    <w:p w:rsidR="002514A1" w:rsidRDefault="002514A1">
      <w:pPr>
        <w:pStyle w:val="Default"/>
        <w:spacing w:line="280" w:lineRule="atLeast"/>
        <w:rPr>
          <w:rFonts w:ascii="Times" w:eastAsia="Times" w:hAnsi="Times" w:cs="Times"/>
          <w:sz w:val="24"/>
          <w:szCs w:val="24"/>
        </w:rPr>
      </w:pPr>
    </w:p>
    <w:p w:rsidR="002514A1" w:rsidRDefault="00F17215">
      <w:pPr>
        <w:pStyle w:val="Default"/>
        <w:spacing w:after="240" w:line="500" w:lineRule="atLeast"/>
        <w:rPr>
          <w:rStyle w:val="PageNumber"/>
          <w:rFonts w:ascii="Times" w:eastAsia="Times" w:hAnsi="Times" w:cs="Times"/>
          <w:sz w:val="24"/>
          <w:szCs w:val="24"/>
        </w:rPr>
      </w:pPr>
      <w:r>
        <w:rPr>
          <w:rFonts w:ascii="Helvetica Neue" w:hAnsi="Helvetica Neue"/>
          <w:b/>
          <w:bCs/>
          <w:sz w:val="28"/>
          <w:szCs w:val="28"/>
        </w:rPr>
        <w:t xml:space="preserve">Is the SDA Framework facilitating high quality and innovative SDA models and design?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The broad design of the S</w:t>
      </w:r>
      <w:r>
        <w:rPr>
          <w:rFonts w:ascii="Arial" w:hAnsi="Arial"/>
          <w:sz w:val="24"/>
          <w:szCs w:val="24"/>
        </w:rPr>
        <w:t xml:space="preserve">DA Framework is </w:t>
      </w:r>
      <w:proofErr w:type="gramStart"/>
      <w:r>
        <w:rPr>
          <w:rFonts w:ascii="Arial" w:hAnsi="Arial"/>
          <w:sz w:val="24"/>
          <w:szCs w:val="24"/>
        </w:rPr>
        <w:t>innovative</w:t>
      </w:r>
      <w:proofErr w:type="gramEnd"/>
      <w:r>
        <w:rPr>
          <w:rFonts w:ascii="Arial" w:hAnsi="Arial"/>
          <w:sz w:val="24"/>
          <w:szCs w:val="24"/>
        </w:rPr>
        <w:t xml:space="preserve"> and providers are able to look at a variety of approaches to developing housing types and in a range of locations. </w:t>
      </w:r>
    </w:p>
    <w:p w:rsidR="002514A1" w:rsidRDefault="00F17215">
      <w:pPr>
        <w:pStyle w:val="Default"/>
        <w:spacing w:after="240" w:line="360" w:lineRule="atLeast"/>
        <w:rPr>
          <w:rStyle w:val="PageNumber"/>
          <w:rFonts w:ascii="Times" w:eastAsia="Times" w:hAnsi="Times" w:cs="Times"/>
          <w:sz w:val="24"/>
          <w:szCs w:val="24"/>
        </w:rPr>
      </w:pPr>
      <w:proofErr w:type="gramStart"/>
      <w:r>
        <w:rPr>
          <w:rFonts w:ascii="Arial" w:hAnsi="Arial"/>
          <w:sz w:val="24"/>
          <w:szCs w:val="24"/>
        </w:rPr>
        <w:t>However</w:t>
      </w:r>
      <w:proofErr w:type="gramEnd"/>
      <w:r>
        <w:rPr>
          <w:rFonts w:ascii="Arial" w:hAnsi="Arial"/>
          <w:sz w:val="24"/>
          <w:szCs w:val="24"/>
        </w:rPr>
        <w:t xml:space="preserve"> the SDA Framework has an underlying assumption that shared dwellings will be the main housing option in the SDA market and this is restricting the potential for diverse and innovative SDA housing solutions. </w:t>
      </w:r>
    </w:p>
    <w:p w:rsidR="002514A1" w:rsidRDefault="00F17215">
      <w:pPr>
        <w:pStyle w:val="Default"/>
        <w:spacing w:after="240" w:line="360" w:lineRule="atLeast"/>
        <w:rPr>
          <w:rStyle w:val="PageNumber"/>
          <w:rFonts w:ascii="Times" w:eastAsia="Times" w:hAnsi="Times" w:cs="Times"/>
          <w:sz w:val="24"/>
          <w:szCs w:val="24"/>
        </w:rPr>
      </w:pPr>
      <w:r>
        <w:rPr>
          <w:rStyle w:val="PageNumber"/>
          <w:rFonts w:ascii="Times" w:hAnsi="Times"/>
          <w:sz w:val="24"/>
          <w:szCs w:val="24"/>
          <w:lang w:val="en-US"/>
        </w:rPr>
        <w:t>This assumption needs to change to encou</w:t>
      </w:r>
      <w:r>
        <w:rPr>
          <w:rStyle w:val="PageNumber"/>
          <w:rFonts w:ascii="Times" w:hAnsi="Times"/>
          <w:sz w:val="24"/>
          <w:szCs w:val="24"/>
          <w:lang w:val="en-US"/>
        </w:rPr>
        <w:t xml:space="preserve">rage the </w:t>
      </w:r>
      <w:r>
        <w:rPr>
          <w:rFonts w:ascii="Helvetica Neue" w:hAnsi="Helvetica Neue"/>
          <w:sz w:val="24"/>
          <w:szCs w:val="24"/>
        </w:rPr>
        <w:t xml:space="preserve">development of an innovative and future focused SDA housing market and enable participants to live an ordinary life. </w:t>
      </w:r>
    </w:p>
    <w:p w:rsidR="002514A1" w:rsidRDefault="00F17215">
      <w:pPr>
        <w:pStyle w:val="Default"/>
        <w:spacing w:after="240" w:line="360" w:lineRule="atLeast"/>
        <w:rPr>
          <w:rFonts w:ascii="Helvetica Neue" w:eastAsia="Helvetica Neue" w:hAnsi="Helvetica Neue" w:cs="Helvetica Neue"/>
          <w:sz w:val="24"/>
          <w:szCs w:val="24"/>
        </w:rPr>
      </w:pPr>
      <w:r>
        <w:rPr>
          <w:rFonts w:ascii="Helvetica Neue" w:hAnsi="Helvetica Neue"/>
          <w:sz w:val="24"/>
          <w:szCs w:val="24"/>
        </w:rPr>
        <w:t xml:space="preserve">Flexible living arrangements that reflect choice and control are likely to reduce support costs in the long term. </w:t>
      </w:r>
    </w:p>
    <w:p w:rsidR="002514A1" w:rsidRDefault="002514A1">
      <w:pPr>
        <w:pStyle w:val="Default"/>
        <w:spacing w:after="240" w:line="360" w:lineRule="atLeast"/>
        <w:rPr>
          <w:rFonts w:ascii="Helvetica Neue" w:eastAsia="Helvetica Neue" w:hAnsi="Helvetica Neue" w:cs="Helvetica Neue"/>
          <w:sz w:val="24"/>
          <w:szCs w:val="24"/>
        </w:rPr>
      </w:pPr>
    </w:p>
    <w:p w:rsidR="002514A1" w:rsidRDefault="00F17215">
      <w:pPr>
        <w:pStyle w:val="Default"/>
        <w:spacing w:after="240" w:line="500" w:lineRule="atLeast"/>
        <w:rPr>
          <w:rStyle w:val="PageNumber"/>
          <w:rFonts w:ascii="Times" w:eastAsia="Times" w:hAnsi="Times" w:cs="Times"/>
          <w:sz w:val="26"/>
          <w:szCs w:val="26"/>
        </w:rPr>
      </w:pPr>
      <w:r>
        <w:rPr>
          <w:rFonts w:ascii="Helvetica Neue" w:hAnsi="Helvetica Neue"/>
          <w:b/>
          <w:bCs/>
          <w:sz w:val="26"/>
          <w:szCs w:val="26"/>
        </w:rPr>
        <w:t xml:space="preserve">Does the SDA </w:t>
      </w:r>
      <w:r>
        <w:rPr>
          <w:rFonts w:ascii="Helvetica Neue" w:hAnsi="Helvetica Neue"/>
          <w:b/>
          <w:bCs/>
          <w:sz w:val="26"/>
          <w:szCs w:val="26"/>
        </w:rPr>
        <w:t xml:space="preserve">Framework support investor decision-making and provide </w:t>
      </w:r>
      <w:proofErr w:type="gramStart"/>
      <w:r>
        <w:rPr>
          <w:rFonts w:ascii="Helvetica Neue" w:hAnsi="Helvetica Neue"/>
          <w:b/>
          <w:bCs/>
          <w:sz w:val="26"/>
          <w:szCs w:val="26"/>
        </w:rPr>
        <w:t>sufficient</w:t>
      </w:r>
      <w:proofErr w:type="gramEnd"/>
      <w:r>
        <w:rPr>
          <w:rFonts w:ascii="Helvetica Neue" w:hAnsi="Helvetica Neue"/>
          <w:b/>
          <w:bCs/>
          <w:sz w:val="26"/>
          <w:szCs w:val="26"/>
        </w:rPr>
        <w:t xml:space="preserve"> market certainty? </w:t>
      </w:r>
    </w:p>
    <w:p w:rsidR="002514A1" w:rsidRDefault="00F17215">
      <w:pPr>
        <w:pStyle w:val="Default"/>
        <w:spacing w:after="240" w:line="360" w:lineRule="atLeast"/>
        <w:rPr>
          <w:rStyle w:val="PageNumber"/>
          <w:rFonts w:ascii="Times" w:eastAsia="Times" w:hAnsi="Times" w:cs="Times"/>
          <w:sz w:val="26"/>
          <w:szCs w:val="26"/>
        </w:rPr>
      </w:pPr>
      <w:r>
        <w:rPr>
          <w:rFonts w:ascii="Helvetica Neue" w:hAnsi="Helvetica Neue"/>
          <w:sz w:val="26"/>
          <w:szCs w:val="26"/>
        </w:rPr>
        <w:t>There is great uncertainty about how participants are being assessed for SDA, how funding levels are determined and how long the whole process takes. Participants are expe</w:t>
      </w:r>
      <w:r>
        <w:rPr>
          <w:rFonts w:ascii="Helvetica Neue" w:hAnsi="Helvetica Neue"/>
          <w:sz w:val="26"/>
          <w:szCs w:val="26"/>
        </w:rPr>
        <w:t xml:space="preserve">riencing delays in NDIA decision-making that are exceeding six months without resolution. </w:t>
      </w:r>
    </w:p>
    <w:p w:rsidR="002514A1" w:rsidRDefault="00F17215">
      <w:pPr>
        <w:pStyle w:val="Default"/>
        <w:spacing w:after="240" w:line="360" w:lineRule="atLeast"/>
        <w:rPr>
          <w:rStyle w:val="PageNumber"/>
          <w:rFonts w:ascii="Times" w:eastAsia="Times" w:hAnsi="Times" w:cs="Times"/>
          <w:sz w:val="26"/>
          <w:szCs w:val="26"/>
        </w:rPr>
      </w:pPr>
      <w:r>
        <w:rPr>
          <w:rFonts w:ascii="Helvetica Neue" w:hAnsi="Helvetica Neue"/>
          <w:sz w:val="26"/>
          <w:szCs w:val="26"/>
        </w:rPr>
        <w:t>Inconsistency and lack of transparency in the NDIA</w:t>
      </w:r>
      <w:r>
        <w:rPr>
          <w:rFonts w:ascii="Helvetica Neue" w:hAnsi="Helvetica Neue"/>
          <w:sz w:val="26"/>
          <w:szCs w:val="26"/>
        </w:rPr>
        <w:t>’</w:t>
      </w:r>
      <w:r>
        <w:rPr>
          <w:rFonts w:ascii="Helvetica Neue" w:hAnsi="Helvetica Neue"/>
          <w:sz w:val="26"/>
          <w:szCs w:val="26"/>
        </w:rPr>
        <w:t xml:space="preserve">s processes is a huge problem in the operation of the SDA Framework. The NDIA needs to give urgent attention to establishing consistent and transparent processes for determining eligibility and funding. </w:t>
      </w:r>
    </w:p>
    <w:p w:rsidR="002514A1" w:rsidRDefault="00F17215">
      <w:pPr>
        <w:pStyle w:val="Default"/>
        <w:spacing w:after="240" w:line="360" w:lineRule="atLeast"/>
        <w:rPr>
          <w:rStyle w:val="PageNumber"/>
          <w:rFonts w:ascii="Times" w:eastAsia="Times" w:hAnsi="Times" w:cs="Times"/>
          <w:sz w:val="26"/>
          <w:szCs w:val="26"/>
        </w:rPr>
      </w:pPr>
      <w:r>
        <w:rPr>
          <w:rFonts w:ascii="Helvetica Neue" w:hAnsi="Helvetica Neue"/>
          <w:sz w:val="26"/>
          <w:szCs w:val="26"/>
        </w:rPr>
        <w:t xml:space="preserve">NDIA determinations of </w:t>
      </w:r>
      <w:r>
        <w:rPr>
          <w:rFonts w:ascii="Helvetica Neue" w:hAnsi="Helvetica Neue"/>
          <w:sz w:val="26"/>
          <w:szCs w:val="26"/>
          <w:lang w:val="de-DE"/>
        </w:rPr>
        <w:t>“</w:t>
      </w:r>
      <w:r>
        <w:rPr>
          <w:rFonts w:ascii="Helvetica Neue" w:hAnsi="Helvetica Neue"/>
          <w:sz w:val="26"/>
          <w:szCs w:val="26"/>
          <w:lang w:val="it-IT"/>
        </w:rPr>
        <w:t>appropriate</w:t>
      </w:r>
      <w:r>
        <w:rPr>
          <w:rFonts w:ascii="Helvetica Neue" w:hAnsi="Helvetica Neue"/>
          <w:sz w:val="26"/>
          <w:szCs w:val="26"/>
        </w:rPr>
        <w:t xml:space="preserve">” </w:t>
      </w:r>
      <w:r>
        <w:rPr>
          <w:rFonts w:ascii="Helvetica Neue" w:hAnsi="Helvetica Neue"/>
          <w:sz w:val="26"/>
          <w:szCs w:val="26"/>
        </w:rPr>
        <w:t>living arrangem</w:t>
      </w:r>
      <w:r>
        <w:rPr>
          <w:rFonts w:ascii="Helvetica Neue" w:hAnsi="Helvetica Neue"/>
          <w:sz w:val="26"/>
          <w:szCs w:val="26"/>
        </w:rPr>
        <w:t xml:space="preserve">ents as part of </w:t>
      </w:r>
      <w:proofErr w:type="gramStart"/>
      <w:r>
        <w:rPr>
          <w:rFonts w:ascii="Helvetica Neue" w:hAnsi="Helvetica Neue"/>
          <w:sz w:val="26"/>
          <w:szCs w:val="26"/>
        </w:rPr>
        <w:t>a</w:t>
      </w:r>
      <w:proofErr w:type="gramEnd"/>
      <w:r>
        <w:rPr>
          <w:rFonts w:ascii="Helvetica Neue" w:hAnsi="Helvetica Neue"/>
          <w:sz w:val="26"/>
          <w:szCs w:val="26"/>
        </w:rPr>
        <w:t xml:space="preserve"> SDA funding decision give the agency excessive control over participant choices and market outcomes for SDA. </w:t>
      </w:r>
    </w:p>
    <w:p w:rsidR="002514A1" w:rsidRDefault="00F17215">
      <w:pPr>
        <w:pStyle w:val="Default"/>
        <w:spacing w:after="240" w:line="360" w:lineRule="atLeast"/>
        <w:rPr>
          <w:rStyle w:val="PageNumber"/>
          <w:rFonts w:ascii="Times" w:eastAsia="Times" w:hAnsi="Times" w:cs="Times"/>
          <w:sz w:val="26"/>
          <w:szCs w:val="26"/>
        </w:rPr>
      </w:pPr>
      <w:r>
        <w:rPr>
          <w:rFonts w:ascii="Helvetica Neue" w:hAnsi="Helvetica Neue"/>
          <w:sz w:val="26"/>
          <w:szCs w:val="26"/>
        </w:rPr>
        <w:lastRenderedPageBreak/>
        <w:t>Decisions about building type should be based on expressed participant preference in their Housing Plan. The NDIA</w:t>
      </w:r>
      <w:r>
        <w:rPr>
          <w:rFonts w:ascii="Helvetica Neue" w:hAnsi="Helvetica Neue"/>
          <w:sz w:val="26"/>
          <w:szCs w:val="26"/>
        </w:rPr>
        <w:t>’</w:t>
      </w:r>
      <w:r>
        <w:rPr>
          <w:rFonts w:ascii="Helvetica Neue" w:hAnsi="Helvetica Neue"/>
          <w:sz w:val="26"/>
          <w:szCs w:val="26"/>
        </w:rPr>
        <w:t xml:space="preserve">s role should </w:t>
      </w:r>
      <w:r>
        <w:rPr>
          <w:rFonts w:ascii="Helvetica Neue" w:hAnsi="Helvetica Neue"/>
          <w:sz w:val="26"/>
          <w:szCs w:val="26"/>
        </w:rPr>
        <w:t xml:space="preserve">focus on determining SDA eligibility and design type, both of which are based on objective evidence. </w:t>
      </w:r>
    </w:p>
    <w:p w:rsidR="002514A1" w:rsidRDefault="00F17215">
      <w:pPr>
        <w:pStyle w:val="Default"/>
        <w:spacing w:after="240" w:line="360" w:lineRule="atLeast"/>
        <w:rPr>
          <w:rStyle w:val="PageNumber"/>
          <w:rFonts w:ascii="Times" w:eastAsia="Times" w:hAnsi="Times" w:cs="Times"/>
          <w:sz w:val="26"/>
          <w:szCs w:val="26"/>
        </w:rPr>
      </w:pPr>
      <w:r>
        <w:rPr>
          <w:rFonts w:ascii="Helvetica Neue" w:hAnsi="Helvetica Neue"/>
          <w:sz w:val="26"/>
          <w:szCs w:val="26"/>
          <w:lang w:val="pt-PT"/>
        </w:rPr>
        <w:t xml:space="preserve">A </w:t>
      </w:r>
      <w:r>
        <w:rPr>
          <w:rFonts w:ascii="Helvetica Neue" w:hAnsi="Helvetica Neue"/>
          <w:sz w:val="26"/>
          <w:szCs w:val="26"/>
          <w:lang w:val="de-DE"/>
        </w:rPr>
        <w:t>“</w:t>
      </w:r>
      <w:r>
        <w:rPr>
          <w:rFonts w:ascii="Helvetica Neue" w:hAnsi="Helvetica Neue"/>
          <w:sz w:val="26"/>
          <w:szCs w:val="26"/>
        </w:rPr>
        <w:t>catch 22</w:t>
      </w:r>
      <w:r>
        <w:rPr>
          <w:rFonts w:ascii="Helvetica Neue" w:hAnsi="Helvetica Neue"/>
          <w:sz w:val="26"/>
          <w:szCs w:val="26"/>
        </w:rPr>
        <w:t xml:space="preserve">” </w:t>
      </w:r>
      <w:r>
        <w:rPr>
          <w:rFonts w:ascii="Helvetica Neue" w:hAnsi="Helvetica Neue"/>
          <w:sz w:val="26"/>
          <w:szCs w:val="26"/>
        </w:rPr>
        <w:t>situation exists under the SDA Rules where SDA properties are not yet built and enrolled. Participants are being told their SDA funding can</w:t>
      </w:r>
      <w:r>
        <w:rPr>
          <w:rFonts w:ascii="Helvetica Neue" w:hAnsi="Helvetica Neue"/>
          <w:sz w:val="26"/>
          <w:szCs w:val="26"/>
        </w:rPr>
        <w:t>’</w:t>
      </w:r>
      <w:r>
        <w:rPr>
          <w:rFonts w:ascii="Helvetica Neue" w:hAnsi="Helvetica Neue"/>
          <w:sz w:val="26"/>
          <w:szCs w:val="26"/>
        </w:rPr>
        <w:t>t</w:t>
      </w:r>
      <w:r>
        <w:rPr>
          <w:rFonts w:ascii="Helvetica Neue" w:hAnsi="Helvetica Neue"/>
          <w:sz w:val="26"/>
          <w:szCs w:val="26"/>
        </w:rPr>
        <w:t xml:space="preserve"> be confirmed without reference to an existing SDA dwelling. But at this early stage, many SDA dwellings are yet to be built. This issue can be fixed through changes to the SDA Rules. </w:t>
      </w:r>
    </w:p>
    <w:p w:rsidR="002514A1" w:rsidRDefault="00F17215">
      <w:pPr>
        <w:pStyle w:val="Default"/>
        <w:spacing w:after="240" w:line="360" w:lineRule="atLeast"/>
        <w:rPr>
          <w:rFonts w:ascii="Helvetica Neue" w:eastAsia="Helvetica Neue" w:hAnsi="Helvetica Neue" w:cs="Helvetica Neue"/>
          <w:sz w:val="26"/>
          <w:szCs w:val="26"/>
        </w:rPr>
      </w:pPr>
      <w:proofErr w:type="gramStart"/>
      <w:r>
        <w:rPr>
          <w:rFonts w:ascii="Helvetica Neue" w:hAnsi="Helvetica Neue"/>
          <w:sz w:val="26"/>
          <w:szCs w:val="26"/>
        </w:rPr>
        <w:t>Unfortunately</w:t>
      </w:r>
      <w:proofErr w:type="gramEnd"/>
      <w:r>
        <w:rPr>
          <w:rFonts w:ascii="Helvetica Neue" w:hAnsi="Helvetica Neue"/>
          <w:sz w:val="26"/>
          <w:szCs w:val="26"/>
        </w:rPr>
        <w:t xml:space="preserve"> the recent SDA Provider and Investor Brief, released by t</w:t>
      </w:r>
      <w:r>
        <w:rPr>
          <w:rFonts w:ascii="Helvetica Neue" w:hAnsi="Helvetica Neue"/>
          <w:sz w:val="26"/>
          <w:szCs w:val="26"/>
        </w:rPr>
        <w:t>he NDIA in April, created widespread uncertainty and confusion through the SDA market. Progress on many SDA projects has been disrupted and participants are very concerned about their right to live independently. Urgent measures need to be taken to restore</w:t>
      </w:r>
      <w:r>
        <w:rPr>
          <w:rFonts w:ascii="Helvetica Neue" w:hAnsi="Helvetica Neue"/>
          <w:sz w:val="26"/>
          <w:szCs w:val="26"/>
        </w:rPr>
        <w:t xml:space="preserve"> market confidence following the publication of this Brief.</w:t>
      </w:r>
    </w:p>
    <w:p w:rsidR="002514A1" w:rsidRDefault="002514A1">
      <w:pPr>
        <w:pStyle w:val="Default"/>
        <w:spacing w:line="280" w:lineRule="atLeast"/>
        <w:rPr>
          <w:rStyle w:val="PageNumber"/>
          <w:rFonts w:ascii="Times" w:eastAsia="Times" w:hAnsi="Times" w:cs="Times"/>
          <w:sz w:val="24"/>
          <w:szCs w:val="24"/>
        </w:rPr>
      </w:pPr>
    </w:p>
    <w:p w:rsidR="002514A1" w:rsidRDefault="00F17215">
      <w:pPr>
        <w:pStyle w:val="Default"/>
        <w:spacing w:after="240" w:line="500" w:lineRule="atLeast"/>
        <w:rPr>
          <w:rStyle w:val="PageNumber"/>
          <w:rFonts w:ascii="Times" w:eastAsia="Times" w:hAnsi="Times" w:cs="Times"/>
          <w:sz w:val="24"/>
          <w:szCs w:val="24"/>
        </w:rPr>
      </w:pPr>
      <w:r>
        <w:rPr>
          <w:rFonts w:ascii="Helvetica Neue" w:hAnsi="Helvetica Neue"/>
          <w:b/>
          <w:bCs/>
          <w:sz w:val="32"/>
          <w:szCs w:val="32"/>
        </w:rPr>
        <w:t xml:space="preserve">Does the SDA Framework enable choice, control, independence and inclusion?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The SDA pricing assumes all residents have SDA funding, and therefore reduces funding to a lower rate if other resident</w:t>
      </w:r>
      <w:r>
        <w:rPr>
          <w:rFonts w:ascii="Arial" w:hAnsi="Arial"/>
          <w:sz w:val="24"/>
          <w:szCs w:val="24"/>
        </w:rPr>
        <w:t xml:space="preserve">s in the dwelling are not SDA-funded participants.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This makes it financially unviable for SDA providers to offer participants a dwelling that is shared with family members. The Framework must not prevent participants being able to live with family members</w:t>
      </w:r>
      <w:r>
        <w:rPr>
          <w:rFonts w:ascii="Arial" w:hAnsi="Arial"/>
          <w:sz w:val="24"/>
          <w:szCs w:val="24"/>
        </w:rPr>
        <w:t xml:space="preserve"> </w:t>
      </w:r>
      <w:r>
        <w:rPr>
          <w:rFonts w:ascii="Arial" w:hAnsi="Arial"/>
          <w:sz w:val="24"/>
          <w:szCs w:val="24"/>
        </w:rPr>
        <w:t xml:space="preserve">– </w:t>
      </w:r>
      <w:r>
        <w:rPr>
          <w:rFonts w:ascii="Arial" w:hAnsi="Arial"/>
          <w:sz w:val="24"/>
          <w:szCs w:val="24"/>
        </w:rPr>
        <w:t xml:space="preserve">currently participants are expected to live in shared housing with other SDA-funded participants.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Larger shared housing types do not reflect contemporary approaches to disability housing or the housing preferences of participants. It is recommended tha</w:t>
      </w:r>
      <w:r>
        <w:rPr>
          <w:rFonts w:ascii="Arial" w:hAnsi="Arial"/>
          <w:sz w:val="24"/>
          <w:szCs w:val="24"/>
        </w:rPr>
        <w:t>t 5-bedrooom shared houses are phased out of new build pricing under the Framework in recognition that sharing beyond two to three people is unlikely to be preferred by participants or reduce costs. While properties built under the current pricing should r</w:t>
      </w:r>
      <w:r>
        <w:rPr>
          <w:rFonts w:ascii="Arial" w:hAnsi="Arial"/>
          <w:sz w:val="24"/>
          <w:szCs w:val="24"/>
        </w:rPr>
        <w:t xml:space="preserve">eceive funding in line with the current SDA price guide, no new 5-bedroom properties should be funded after the next price review.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lastRenderedPageBreak/>
        <w:t>In-kind arrangements for SDA are also recommended to be phased out of the SDA Framework, as these arrangements limit partici</w:t>
      </w:r>
      <w:r>
        <w:rPr>
          <w:rFonts w:ascii="Arial" w:hAnsi="Arial"/>
          <w:sz w:val="24"/>
          <w:szCs w:val="24"/>
        </w:rPr>
        <w:t xml:space="preserve">pant choice and control and distort the SDA supply market. </w:t>
      </w:r>
    </w:p>
    <w:p w:rsidR="002514A1" w:rsidRDefault="00F17215">
      <w:pPr>
        <w:pStyle w:val="Default"/>
        <w:spacing w:line="280" w:lineRule="atLeast"/>
        <w:rPr>
          <w:rFonts w:ascii="Times" w:eastAsia="Times" w:hAnsi="Times" w:cs="Times"/>
          <w:sz w:val="24"/>
          <w:szCs w:val="24"/>
        </w:rPr>
      </w:pPr>
      <w:r>
        <w:rPr>
          <w:rFonts w:ascii="Times" w:eastAsia="Times" w:hAnsi="Times" w:cs="Times"/>
          <w:noProof/>
          <w:sz w:val="24"/>
          <w:szCs w:val="24"/>
        </w:rPr>
        <w:drawing>
          <wp:inline distT="0" distB="0" distL="0" distR="0">
            <wp:extent cx="5270500" cy="1119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4image21032.png"/>
                    <pic:cNvPicPr>
                      <a:picLocks noChangeAspect="1"/>
                    </pic:cNvPicPr>
                  </pic:nvPicPr>
                  <pic:blipFill>
                    <a:blip r:embed="rId10">
                      <a:extLst/>
                    </a:blip>
                    <a:stretch>
                      <a:fillRect/>
                    </a:stretch>
                  </pic:blipFill>
                  <pic:spPr>
                    <a:xfrm>
                      <a:off x="0" y="0"/>
                      <a:ext cx="5270500" cy="11191"/>
                    </a:xfrm>
                    <a:prstGeom prst="rect">
                      <a:avLst/>
                    </a:prstGeom>
                    <a:ln w="12700" cap="flat">
                      <a:noFill/>
                      <a:miter lim="400000"/>
                    </a:ln>
                    <a:effectLst/>
                  </pic:spPr>
                </pic:pic>
              </a:graphicData>
            </a:graphic>
          </wp:inline>
        </w:drawing>
      </w:r>
    </w:p>
    <w:p w:rsidR="002514A1" w:rsidRDefault="002514A1">
      <w:pPr>
        <w:pStyle w:val="Default"/>
        <w:spacing w:after="240" w:line="280" w:lineRule="atLeast"/>
        <w:rPr>
          <w:rStyle w:val="PageNumber"/>
          <w:rFonts w:ascii="Times" w:eastAsia="Times" w:hAnsi="Times" w:cs="Times"/>
          <w:sz w:val="24"/>
          <w:szCs w:val="24"/>
        </w:rPr>
      </w:pPr>
    </w:p>
    <w:p w:rsidR="002514A1" w:rsidRDefault="00F17215">
      <w:pPr>
        <w:pStyle w:val="Default"/>
        <w:spacing w:after="240" w:line="500" w:lineRule="atLeast"/>
        <w:rPr>
          <w:rStyle w:val="PageNumber"/>
          <w:rFonts w:ascii="Times" w:eastAsia="Times" w:hAnsi="Times" w:cs="Times"/>
          <w:sz w:val="24"/>
          <w:szCs w:val="24"/>
        </w:rPr>
      </w:pPr>
      <w:r>
        <w:rPr>
          <w:rFonts w:ascii="Helvetica Neue" w:hAnsi="Helvetica Neue"/>
          <w:b/>
          <w:bCs/>
          <w:sz w:val="24"/>
          <w:szCs w:val="24"/>
        </w:rPr>
        <w:t xml:space="preserve">Does the SDA Framework </w:t>
      </w:r>
      <w:proofErr w:type="spellStart"/>
      <w:r>
        <w:rPr>
          <w:rFonts w:ascii="Helvetica Neue" w:hAnsi="Helvetica Neue"/>
          <w:b/>
          <w:bCs/>
          <w:sz w:val="24"/>
          <w:szCs w:val="24"/>
        </w:rPr>
        <w:t>incentivise</w:t>
      </w:r>
      <w:proofErr w:type="spellEnd"/>
      <w:r>
        <w:rPr>
          <w:rFonts w:ascii="Helvetica Neue" w:hAnsi="Helvetica Neue"/>
          <w:b/>
          <w:bCs/>
          <w:sz w:val="24"/>
          <w:szCs w:val="24"/>
        </w:rPr>
        <w:t xml:space="preserve"> value for money in use of NDIS </w:t>
      </w:r>
      <w:proofErr w:type="spellStart"/>
      <w:r>
        <w:rPr>
          <w:rFonts w:ascii="Helvetica Neue" w:hAnsi="Helvetica Neue"/>
          <w:b/>
          <w:bCs/>
          <w:sz w:val="24"/>
          <w:szCs w:val="24"/>
        </w:rPr>
        <w:t>individualised</w:t>
      </w:r>
      <w:proofErr w:type="spellEnd"/>
      <w:r>
        <w:rPr>
          <w:rFonts w:ascii="Helvetica Neue" w:hAnsi="Helvetica Neue"/>
          <w:b/>
          <w:bCs/>
          <w:sz w:val="24"/>
          <w:szCs w:val="24"/>
        </w:rPr>
        <w:t xml:space="preserve"> funding and support the ongoing sustainability of the Scheme?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 xml:space="preserve">The NDIA needs to exercise caution with cost </w:t>
      </w:r>
      <w:r>
        <w:rPr>
          <w:rFonts w:ascii="Arial" w:hAnsi="Arial"/>
          <w:sz w:val="24"/>
          <w:szCs w:val="24"/>
        </w:rPr>
        <w:t xml:space="preserve">containment measures for SDA funding that limit choice and control. </w:t>
      </w:r>
    </w:p>
    <w:p w:rsidR="002514A1" w:rsidRDefault="00F17215">
      <w:pPr>
        <w:pStyle w:val="Default"/>
        <w:spacing w:after="240" w:line="360" w:lineRule="atLeast"/>
        <w:rPr>
          <w:rFonts w:ascii="Arial" w:eastAsia="Arial" w:hAnsi="Arial" w:cs="Arial"/>
          <w:sz w:val="24"/>
          <w:szCs w:val="24"/>
        </w:rPr>
      </w:pPr>
      <w:r>
        <w:rPr>
          <w:rFonts w:ascii="Arial" w:hAnsi="Arial"/>
          <w:sz w:val="24"/>
          <w:szCs w:val="24"/>
        </w:rPr>
        <w:t xml:space="preserve">Perpetuating </w:t>
      </w:r>
      <w:proofErr w:type="spellStart"/>
      <w:r>
        <w:rPr>
          <w:rFonts w:ascii="Arial" w:hAnsi="Arial"/>
          <w:sz w:val="24"/>
          <w:szCs w:val="24"/>
        </w:rPr>
        <w:t>out-dated</w:t>
      </w:r>
      <w:proofErr w:type="spellEnd"/>
      <w:r>
        <w:rPr>
          <w:rFonts w:ascii="Arial" w:hAnsi="Arial"/>
          <w:sz w:val="24"/>
          <w:szCs w:val="24"/>
        </w:rPr>
        <w:t xml:space="preserve"> views about </w:t>
      </w:r>
      <w:r>
        <w:rPr>
          <w:rFonts w:ascii="Arial" w:hAnsi="Arial"/>
          <w:sz w:val="24"/>
          <w:szCs w:val="24"/>
          <w:lang w:val="de-DE"/>
        </w:rPr>
        <w:t>“</w:t>
      </w:r>
      <w:r>
        <w:rPr>
          <w:rFonts w:ascii="Arial" w:hAnsi="Arial"/>
          <w:sz w:val="24"/>
          <w:szCs w:val="24"/>
        </w:rPr>
        <w:t>SDA models</w:t>
      </w:r>
      <w:r>
        <w:rPr>
          <w:rFonts w:ascii="Arial" w:hAnsi="Arial"/>
          <w:sz w:val="24"/>
          <w:szCs w:val="24"/>
        </w:rPr>
        <w:t xml:space="preserve">” </w:t>
      </w:r>
      <w:r>
        <w:rPr>
          <w:rFonts w:ascii="Arial" w:hAnsi="Arial"/>
          <w:sz w:val="24"/>
          <w:szCs w:val="24"/>
        </w:rPr>
        <w:t xml:space="preserve">and </w:t>
      </w:r>
      <w:r>
        <w:rPr>
          <w:rFonts w:ascii="Arial" w:hAnsi="Arial"/>
          <w:sz w:val="24"/>
          <w:szCs w:val="24"/>
          <w:lang w:val="de-DE"/>
        </w:rPr>
        <w:t>“</w:t>
      </w:r>
      <w:r>
        <w:rPr>
          <w:rFonts w:ascii="Arial" w:hAnsi="Arial"/>
          <w:sz w:val="24"/>
          <w:szCs w:val="24"/>
        </w:rPr>
        <w:t>support models</w:t>
      </w:r>
      <w:r>
        <w:rPr>
          <w:rFonts w:ascii="Arial" w:hAnsi="Arial"/>
          <w:sz w:val="24"/>
          <w:szCs w:val="24"/>
        </w:rPr>
        <w:t xml:space="preserve">” </w:t>
      </w:r>
      <w:r>
        <w:rPr>
          <w:rFonts w:ascii="Arial" w:hAnsi="Arial"/>
          <w:sz w:val="24"/>
          <w:szCs w:val="24"/>
        </w:rPr>
        <w:t xml:space="preserve">in the operation of the SDA Framework, with the aim of cost-effectiveness, will </w:t>
      </w:r>
      <w:proofErr w:type="spellStart"/>
      <w:r>
        <w:rPr>
          <w:rFonts w:ascii="Arial" w:hAnsi="Arial"/>
          <w:sz w:val="24"/>
          <w:szCs w:val="24"/>
        </w:rPr>
        <w:t>minimise</w:t>
      </w:r>
      <w:proofErr w:type="spellEnd"/>
      <w:r>
        <w:rPr>
          <w:rFonts w:ascii="Arial" w:hAnsi="Arial"/>
          <w:sz w:val="24"/>
          <w:szCs w:val="24"/>
        </w:rPr>
        <w:t xml:space="preserve"> options and opportunities for</w:t>
      </w:r>
      <w:r>
        <w:rPr>
          <w:rFonts w:ascii="Arial" w:hAnsi="Arial"/>
          <w:sz w:val="24"/>
          <w:szCs w:val="24"/>
        </w:rPr>
        <w:t xml:space="preserve"> participants, stifle opportunities to achieve flexible solutions and long-term benefits and distort the profile of the new SDA supply. Given the evidence suggests lifetime costs of group homes are higher, short-term cost savings will create higher </w:t>
      </w:r>
      <w:proofErr w:type="gramStart"/>
      <w:r>
        <w:rPr>
          <w:rFonts w:ascii="Arial" w:hAnsi="Arial"/>
          <w:sz w:val="24"/>
          <w:szCs w:val="24"/>
        </w:rPr>
        <w:t>long ti</w:t>
      </w:r>
      <w:r>
        <w:rPr>
          <w:rFonts w:ascii="Arial" w:hAnsi="Arial"/>
          <w:sz w:val="24"/>
          <w:szCs w:val="24"/>
        </w:rPr>
        <w:t>me</w:t>
      </w:r>
      <w:proofErr w:type="gramEnd"/>
      <w:r>
        <w:rPr>
          <w:rFonts w:ascii="Arial" w:hAnsi="Arial"/>
          <w:sz w:val="24"/>
          <w:szCs w:val="24"/>
        </w:rPr>
        <w:t xml:space="preserve"> liabilities for NDIA. </w:t>
      </w:r>
    </w:p>
    <w:p w:rsidR="002514A1" w:rsidRDefault="00F17215">
      <w:pPr>
        <w:pStyle w:val="Default"/>
        <w:spacing w:after="240" w:line="500" w:lineRule="atLeast"/>
        <w:rPr>
          <w:rStyle w:val="PageNumber"/>
          <w:rFonts w:ascii="Times" w:eastAsia="Times" w:hAnsi="Times" w:cs="Times"/>
          <w:sz w:val="24"/>
          <w:szCs w:val="24"/>
        </w:rPr>
      </w:pPr>
      <w:r>
        <w:rPr>
          <w:rFonts w:ascii="Helvetica Neue" w:hAnsi="Helvetica Neue"/>
          <w:b/>
          <w:bCs/>
          <w:sz w:val="24"/>
          <w:szCs w:val="24"/>
        </w:rPr>
        <w:t xml:space="preserve">Transitional and urgent housing needs of SDA participants </w:t>
      </w:r>
    </w:p>
    <w:p w:rsidR="002514A1" w:rsidRDefault="00F17215">
      <w:pPr>
        <w:pStyle w:val="Default"/>
        <w:spacing w:after="240" w:line="360" w:lineRule="atLeast"/>
        <w:rPr>
          <w:rStyle w:val="PageNumber"/>
          <w:rFonts w:ascii="Times" w:eastAsia="Times" w:hAnsi="Times" w:cs="Times"/>
          <w:sz w:val="24"/>
          <w:szCs w:val="24"/>
        </w:rPr>
      </w:pPr>
      <w:r>
        <w:rPr>
          <w:rFonts w:ascii="Helvetica Neue" w:hAnsi="Helvetica Neue"/>
          <w:sz w:val="24"/>
          <w:szCs w:val="24"/>
        </w:rPr>
        <w:t>In some situations, moving immediately into SDA as a long-term housing solution is not appropriate for many people with disability. Urgent housing needs and transitional s</w:t>
      </w:r>
      <w:r>
        <w:rPr>
          <w:rFonts w:ascii="Helvetica Neue" w:hAnsi="Helvetica Neue"/>
          <w:sz w:val="24"/>
          <w:szCs w:val="24"/>
        </w:rPr>
        <w:t xml:space="preserve">olutions need to sit alongside the permanent SDA options. </w:t>
      </w:r>
    </w:p>
    <w:p w:rsidR="002514A1" w:rsidRDefault="00F17215">
      <w:pPr>
        <w:pStyle w:val="Default"/>
        <w:spacing w:after="240" w:line="360" w:lineRule="atLeast"/>
        <w:rPr>
          <w:rFonts w:ascii="Helvetica Neue" w:eastAsia="Helvetica Neue" w:hAnsi="Helvetica Neue" w:cs="Helvetica Neue"/>
          <w:sz w:val="24"/>
          <w:szCs w:val="24"/>
        </w:rPr>
      </w:pPr>
      <w:r>
        <w:rPr>
          <w:rFonts w:ascii="Helvetica Neue" w:hAnsi="Helvetica Neue"/>
          <w:sz w:val="24"/>
          <w:szCs w:val="24"/>
        </w:rPr>
        <w:t>Transitional housing may need to be funded under the SDA Framework as an interim option. It is also very important that the SDA Framework can deal with urgent housing changes if a living arrangemen</w:t>
      </w:r>
      <w:r>
        <w:rPr>
          <w:rFonts w:ascii="Helvetica Neue" w:hAnsi="Helvetica Neue"/>
          <w:sz w:val="24"/>
          <w:szCs w:val="24"/>
        </w:rPr>
        <w:t xml:space="preserve">t breaks down and measures need to be taken to prevent homelessness. </w:t>
      </w:r>
    </w:p>
    <w:p w:rsidR="002514A1" w:rsidRDefault="002514A1">
      <w:pPr>
        <w:pStyle w:val="Default"/>
        <w:spacing w:line="280" w:lineRule="atLeast"/>
        <w:rPr>
          <w:rStyle w:val="PageNumber"/>
          <w:rFonts w:ascii="Times" w:eastAsia="Times" w:hAnsi="Times" w:cs="Times"/>
          <w:sz w:val="24"/>
          <w:szCs w:val="24"/>
        </w:rPr>
      </w:pPr>
    </w:p>
    <w:p w:rsidR="002514A1" w:rsidRDefault="00F17215">
      <w:pPr>
        <w:pStyle w:val="Default"/>
        <w:spacing w:after="240" w:line="500" w:lineRule="atLeast"/>
        <w:rPr>
          <w:rStyle w:val="PageNumber"/>
          <w:rFonts w:ascii="Times" w:eastAsia="Times" w:hAnsi="Times" w:cs="Times"/>
          <w:sz w:val="24"/>
          <w:szCs w:val="24"/>
        </w:rPr>
      </w:pPr>
      <w:r>
        <w:rPr>
          <w:rFonts w:ascii="Helvetica Neue" w:hAnsi="Helvetica Neue"/>
          <w:b/>
          <w:bCs/>
          <w:sz w:val="24"/>
          <w:szCs w:val="24"/>
        </w:rPr>
        <w:t xml:space="preserve">Coherent and consistent SDA Framework documentation </w:t>
      </w:r>
    </w:p>
    <w:p w:rsidR="002514A1" w:rsidRDefault="00F17215">
      <w:pPr>
        <w:pStyle w:val="Default"/>
        <w:spacing w:after="240" w:line="360" w:lineRule="atLeast"/>
        <w:rPr>
          <w:rStyle w:val="PageNumber"/>
          <w:rFonts w:ascii="Times" w:eastAsia="Times" w:hAnsi="Times" w:cs="Times"/>
          <w:sz w:val="24"/>
          <w:szCs w:val="24"/>
        </w:rPr>
      </w:pPr>
      <w:r>
        <w:rPr>
          <w:rFonts w:ascii="Helvetica Neue" w:hAnsi="Helvetica Neue"/>
          <w:sz w:val="24"/>
          <w:szCs w:val="24"/>
        </w:rPr>
        <w:t xml:space="preserve">This submission recommends </w:t>
      </w:r>
      <w:proofErr w:type="gramStart"/>
      <w:r>
        <w:rPr>
          <w:rFonts w:ascii="Helvetica Neue" w:hAnsi="Helvetica Neue"/>
          <w:sz w:val="24"/>
          <w:szCs w:val="24"/>
        </w:rPr>
        <w:t>a number of</w:t>
      </w:r>
      <w:proofErr w:type="gramEnd"/>
      <w:r>
        <w:rPr>
          <w:rFonts w:ascii="Helvetica Neue" w:hAnsi="Helvetica Neue"/>
          <w:sz w:val="24"/>
          <w:szCs w:val="24"/>
        </w:rPr>
        <w:t xml:space="preserve"> changes to the various documents that are part of the SDA Framework. The overall suite of SDA documentation should then be </w:t>
      </w:r>
      <w:proofErr w:type="spellStart"/>
      <w:r>
        <w:rPr>
          <w:rFonts w:ascii="Helvetica Neue" w:hAnsi="Helvetica Neue"/>
          <w:sz w:val="24"/>
          <w:szCs w:val="24"/>
        </w:rPr>
        <w:t>organised</w:t>
      </w:r>
      <w:proofErr w:type="spellEnd"/>
      <w:r>
        <w:rPr>
          <w:rFonts w:ascii="Helvetica Neue" w:hAnsi="Helvetica Neue"/>
          <w:sz w:val="24"/>
          <w:szCs w:val="24"/>
        </w:rPr>
        <w:t xml:space="preserve"> in a more cohesive way. </w:t>
      </w:r>
    </w:p>
    <w:p w:rsidR="002514A1" w:rsidRDefault="00F17215">
      <w:pPr>
        <w:pStyle w:val="Default"/>
        <w:spacing w:after="240" w:line="360" w:lineRule="atLeast"/>
        <w:rPr>
          <w:rStyle w:val="PageNumber"/>
          <w:rFonts w:ascii="Times" w:eastAsia="Times" w:hAnsi="Times" w:cs="Times"/>
          <w:sz w:val="24"/>
          <w:szCs w:val="24"/>
        </w:rPr>
      </w:pPr>
      <w:r>
        <w:rPr>
          <w:rFonts w:ascii="Helvetica Neue" w:hAnsi="Helvetica Neue"/>
          <w:sz w:val="24"/>
          <w:szCs w:val="24"/>
        </w:rPr>
        <w:lastRenderedPageBreak/>
        <w:t>Evaluation and monitoring mechanisms for SDA should be deve</w:t>
      </w:r>
      <w:r>
        <w:rPr>
          <w:rFonts w:ascii="Helvetica Neue" w:hAnsi="Helvetica Neue"/>
          <w:sz w:val="24"/>
          <w:szCs w:val="24"/>
        </w:rPr>
        <w:t xml:space="preserve">loped and incorporated in the Framework </w:t>
      </w:r>
      <w:r>
        <w:rPr>
          <w:rFonts w:ascii="Helvetica Neue" w:hAnsi="Helvetica Neue"/>
          <w:sz w:val="24"/>
          <w:szCs w:val="24"/>
        </w:rPr>
        <w:t xml:space="preserve">– </w:t>
      </w:r>
      <w:r>
        <w:rPr>
          <w:rFonts w:ascii="Helvetica Neue" w:hAnsi="Helvetica Neue"/>
          <w:sz w:val="24"/>
          <w:szCs w:val="24"/>
        </w:rPr>
        <w:t>this would guide data collection and enable evaluation of the outcomes of SDA funding.</w:t>
      </w:r>
    </w:p>
    <w:p w:rsidR="002514A1" w:rsidRDefault="002514A1">
      <w:pPr>
        <w:pStyle w:val="Default"/>
      </w:pPr>
    </w:p>
    <w:sectPr w:rsidR="002514A1">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15" w:rsidRDefault="00F17215">
      <w:r>
        <w:separator/>
      </w:r>
    </w:p>
  </w:endnote>
  <w:endnote w:type="continuationSeparator" w:id="0">
    <w:p w:rsidR="00F17215" w:rsidRDefault="00F1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A1" w:rsidRDefault="00F17215">
    <w:pPr>
      <w:pStyle w:val="Footer"/>
      <w:tabs>
        <w:tab w:val="clear" w:pos="8640"/>
        <w:tab w:val="right" w:pos="8280"/>
      </w:tabs>
      <w:jc w:val="right"/>
    </w:pPr>
    <w:r>
      <w:t xml:space="preserve">QDN SUMMARY: SUMMER HOUSING </w:t>
    </w:r>
    <w:proofErr w:type="gramStart"/>
    <w:r>
      <w:t>JOINT  SUBMISSION</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15" w:rsidRDefault="00F17215">
      <w:r>
        <w:separator/>
      </w:r>
    </w:p>
  </w:footnote>
  <w:footnote w:type="continuationSeparator" w:id="0">
    <w:p w:rsidR="00F17215" w:rsidRDefault="00F1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A1" w:rsidRDefault="002514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3004"/>
    <w:multiLevelType w:val="hybridMultilevel"/>
    <w:tmpl w:val="E8F6A68A"/>
    <w:numStyleLink w:val="Bullets"/>
  </w:abstractNum>
  <w:abstractNum w:abstractNumId="1" w15:restartNumberingAfterBreak="0">
    <w:nsid w:val="371B3F63"/>
    <w:multiLevelType w:val="hybridMultilevel"/>
    <w:tmpl w:val="E8F6A68A"/>
    <w:styleLink w:val="Bullets"/>
    <w:lvl w:ilvl="0" w:tplc="7958BEB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A7CC5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920EB8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C12848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62CA66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DCABDC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784DD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4D631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E285E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E44C21"/>
    <w:multiLevelType w:val="hybridMultilevel"/>
    <w:tmpl w:val="931076D8"/>
    <w:numStyleLink w:val="ImportedStyle1"/>
  </w:abstractNum>
  <w:abstractNum w:abstractNumId="3" w15:restartNumberingAfterBreak="0">
    <w:nsid w:val="403B4D97"/>
    <w:multiLevelType w:val="hybridMultilevel"/>
    <w:tmpl w:val="53320F1E"/>
    <w:numStyleLink w:val="ImportedStyle3"/>
  </w:abstractNum>
  <w:abstractNum w:abstractNumId="4" w15:restartNumberingAfterBreak="0">
    <w:nsid w:val="4DC826A9"/>
    <w:multiLevelType w:val="hybridMultilevel"/>
    <w:tmpl w:val="931076D8"/>
    <w:styleLink w:val="ImportedStyle1"/>
    <w:lvl w:ilvl="0" w:tplc="9C6C7A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CAA5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4C3DE">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E0FAC">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AC491E">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E114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06B2E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FA948A">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7A80D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5B4722"/>
    <w:multiLevelType w:val="hybridMultilevel"/>
    <w:tmpl w:val="F0A0AF70"/>
    <w:numStyleLink w:val="ImportedStyle2"/>
  </w:abstractNum>
  <w:abstractNum w:abstractNumId="6" w15:restartNumberingAfterBreak="0">
    <w:nsid w:val="6A2903DF"/>
    <w:multiLevelType w:val="hybridMultilevel"/>
    <w:tmpl w:val="53320F1E"/>
    <w:styleLink w:val="ImportedStyle3"/>
    <w:lvl w:ilvl="0" w:tplc="5636E35A">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D4309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EC8422">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45802">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944BEC">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B2ABD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FED15A">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CCD1CE">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0E957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7E33B2"/>
    <w:multiLevelType w:val="hybridMultilevel"/>
    <w:tmpl w:val="F0A0AF70"/>
    <w:styleLink w:val="ImportedStyle2"/>
    <w:lvl w:ilvl="0" w:tplc="DB3040F6">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7E6CB4">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C8C0A">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CE001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1A591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AAF82A">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CAE3E">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18C4B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5CBE34">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0">
      <w:lvl w:ilvl="0" w:tplc="AA30A708">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3C4E78">
        <w:start w:val="1"/>
        <w:numFmt w:val="bullet"/>
        <w:lvlText w:val="➢"/>
        <w:lvlJc w:val="left"/>
        <w:pPr>
          <w:ind w:left="108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48E346">
        <w:start w:val="1"/>
        <w:numFmt w:val="bullet"/>
        <w:lvlText w:val="◇"/>
        <w:lvlJc w:val="left"/>
        <w:pPr>
          <w:ind w:left="156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C2B484">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1A4F36">
        <w:start w:val="1"/>
        <w:numFmt w:val="bullet"/>
        <w:lvlText w:val="➢"/>
        <w:lvlJc w:val="left"/>
        <w:pPr>
          <w:ind w:left="25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146B9A">
        <w:start w:val="1"/>
        <w:numFmt w:val="bullet"/>
        <w:lvlText w:val="◇"/>
        <w:lvlJc w:val="left"/>
        <w:pPr>
          <w:ind w:left="300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10AF70">
        <w:start w:val="1"/>
        <w:numFmt w:val="bullet"/>
        <w:lvlText w:val="●"/>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F4F44A">
        <w:start w:val="1"/>
        <w:numFmt w:val="bullet"/>
        <w:lvlText w:val="➢"/>
        <w:lvlJc w:val="left"/>
        <w:pPr>
          <w:ind w:left="396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3AFB34">
        <w:start w:val="1"/>
        <w:numFmt w:val="bullet"/>
        <w:lvlText w:val="◇"/>
        <w:lvlJc w:val="left"/>
        <w:pPr>
          <w:ind w:left="444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5"/>
  </w:num>
  <w:num w:numId="6">
    <w:abstractNumId w:val="6"/>
  </w:num>
  <w:num w:numId="7">
    <w:abstractNumId w:val="3"/>
  </w:num>
  <w:num w:numId="8">
    <w:abstractNumId w:val="1"/>
  </w:num>
  <w:num w:numId="9">
    <w:abstractNumId w:val="0"/>
  </w:num>
  <w:num w:numId="10">
    <w:abstractNumId w:val="0"/>
    <w:lvlOverride w:ilvl="0">
      <w:lvl w:ilvl="0" w:tplc="5F943C3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F2D2E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9024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262AF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9ACD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A82EA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22A4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6E01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F83D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A1"/>
    <w:rsid w:val="002514A1"/>
    <w:rsid w:val="00D34D84"/>
    <w:rsid w:val="00F17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7A93D-8DC1-4BF0-A7DA-5391C39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de-DE"/>
    </w:rPr>
  </w:style>
  <w:style w:type="paragraph" w:customStyle="1" w:styleId="Default">
    <w:name w:val="Default"/>
    <w:rPr>
      <w:rFonts w:ascii="Helvetica" w:hAnsi="Helvetica" w:cs="Arial Unicode MS"/>
      <w:color w:val="000000"/>
      <w:sz w:val="22"/>
      <w:szCs w:val="22"/>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Bullets">
    <w:name w:val="Bullets"/>
    <w:pPr>
      <w:numPr>
        <w:numId w:val="8"/>
      </w:numPr>
    </w:pPr>
  </w:style>
  <w:style w:type="paragraph" w:styleId="BalloonText">
    <w:name w:val="Balloon Text"/>
    <w:basedOn w:val="Normal"/>
    <w:link w:val="BalloonTextChar"/>
    <w:uiPriority w:val="99"/>
    <w:semiHidden/>
    <w:unhideWhenUsed/>
    <w:rsid w:val="00D34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8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0" ma:contentTypeDescription="Create a new document." ma:contentTypeScope="" ma:versionID="0ecb91749720bbcc91b8e5ce22837f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CE56F-D3DB-43BF-A76E-3466F30C505F}">
  <ds:schemaRefs>
    <ds:schemaRef ds:uri="http://schemas.microsoft.com/sharepoint/v3/contenttype/forms"/>
  </ds:schemaRefs>
</ds:datastoreItem>
</file>

<file path=customXml/itemProps2.xml><?xml version="1.0" encoding="utf-8"?>
<ds:datastoreItem xmlns:ds="http://schemas.openxmlformats.org/officeDocument/2006/customXml" ds:itemID="{D34350C6-8E23-4032-8A81-57B0948A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970E17-BABB-430F-80DF-A1C22E137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Burton</dc:creator>
  <cp:lastModifiedBy>Kate Burton</cp:lastModifiedBy>
  <cp:revision>2</cp:revision>
  <dcterms:created xsi:type="dcterms:W3CDTF">2019-11-21T21:52:00Z</dcterms:created>
  <dcterms:modified xsi:type="dcterms:W3CDTF">2019-11-21T21:52:00Z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