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68622" w14:textId="77777777" w:rsidR="004B41D3" w:rsidRDefault="004B41D3" w:rsidP="001B31BA">
      <w:pPr>
        <w:jc w:val="center"/>
      </w:pPr>
    </w:p>
    <w:p w14:paraId="160486B8" w14:textId="77777777" w:rsidR="00762EFC" w:rsidRDefault="00762EFC" w:rsidP="00C1456E">
      <w:pPr>
        <w:pStyle w:val="Heading1"/>
        <w:shd w:val="clear" w:color="auto" w:fill="FFFFFF"/>
        <w:spacing w:before="0" w:line="240" w:lineRule="auto"/>
        <w:rPr>
          <w:sz w:val="48"/>
          <w:szCs w:val="28"/>
        </w:rPr>
      </w:pPr>
      <w:bookmarkStart w:id="0" w:name="_Toc420566282"/>
    </w:p>
    <w:p w14:paraId="46B0F571" w14:textId="77777777" w:rsidR="00C1456E" w:rsidRPr="00C1456E" w:rsidRDefault="00C1456E" w:rsidP="00C1456E">
      <w:pPr>
        <w:pStyle w:val="Heading1"/>
        <w:shd w:val="clear" w:color="auto" w:fill="FFFFFF"/>
        <w:spacing w:before="0" w:line="240" w:lineRule="auto"/>
        <w:rPr>
          <w:color w:val="002060"/>
          <w:sz w:val="96"/>
          <w:szCs w:val="28"/>
        </w:rPr>
      </w:pPr>
      <w:bookmarkStart w:id="1" w:name="_Toc6236079"/>
      <w:r>
        <w:rPr>
          <w:sz w:val="48"/>
          <w:szCs w:val="28"/>
        </w:rPr>
        <w:t>Queenslanders with Disability Network Federal Election Platform 2019</w:t>
      </w:r>
      <w:bookmarkEnd w:id="0"/>
      <w:bookmarkEnd w:id="1"/>
    </w:p>
    <w:p w14:paraId="0DC4DD86" w14:textId="77777777" w:rsidR="00C1456E" w:rsidRPr="00C1456E" w:rsidRDefault="00C1456E" w:rsidP="00C1456E">
      <w:pPr>
        <w:spacing w:before="0" w:line="240" w:lineRule="auto"/>
        <w:rPr>
          <w:b/>
          <w:color w:val="2F5496" w:themeColor="accent5" w:themeShade="BF"/>
          <w:sz w:val="40"/>
        </w:rPr>
      </w:pPr>
      <w:r w:rsidRPr="00C1456E">
        <w:rPr>
          <w:b/>
          <w:color w:val="2F5496" w:themeColor="accent5" w:themeShade="BF"/>
          <w:sz w:val="40"/>
        </w:rPr>
        <w:t>________________________________________</w:t>
      </w:r>
    </w:p>
    <w:p w14:paraId="54731F9E" w14:textId="77777777" w:rsidR="00C1456E" w:rsidRPr="00C1456E" w:rsidRDefault="00C1456E" w:rsidP="00C1456E">
      <w:pPr>
        <w:spacing w:before="0" w:line="240" w:lineRule="auto"/>
        <w:rPr>
          <w:color w:val="2F5496" w:themeColor="accent5" w:themeShade="BF"/>
        </w:rPr>
      </w:pPr>
    </w:p>
    <w:p w14:paraId="5F90C43E" w14:textId="77777777" w:rsidR="00C1456E" w:rsidRDefault="00C1456E" w:rsidP="00C1456E"/>
    <w:p w14:paraId="4FC5622D" w14:textId="77777777" w:rsidR="00762EFC" w:rsidRDefault="00762EFC" w:rsidP="00C1456E"/>
    <w:p w14:paraId="62544883" w14:textId="77777777" w:rsidR="00C1456E" w:rsidRPr="00F9055E" w:rsidRDefault="00C1456E" w:rsidP="00C1456E"/>
    <w:p w14:paraId="566EC692" w14:textId="77777777" w:rsidR="00C1456E" w:rsidRDefault="00C1456E" w:rsidP="00C1456E">
      <w:r>
        <w:rPr>
          <w:noProof/>
          <w:lang w:val="en-AU"/>
        </w:rPr>
        <w:drawing>
          <wp:inline distT="0" distB="0" distL="0" distR="0" wp14:anchorId="4EE2E9E5" wp14:editId="7233C53D">
            <wp:extent cx="5731510" cy="2797810"/>
            <wp:effectExtent l="0" t="0" r="2540" b="2540"/>
            <wp:docPr id="2" name="Picture 2" descr="Capital Q D N then the words Queenslanders with Disability Network" title="Q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W TAGLINE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797810"/>
                    </a:xfrm>
                    <a:prstGeom prst="rect">
                      <a:avLst/>
                    </a:prstGeom>
                  </pic:spPr>
                </pic:pic>
              </a:graphicData>
            </a:graphic>
          </wp:inline>
        </w:drawing>
      </w:r>
    </w:p>
    <w:p w14:paraId="72C4A7FA" w14:textId="439F0AE2" w:rsidR="00C1456E" w:rsidRDefault="00C1456E" w:rsidP="00C1456E"/>
    <w:p w14:paraId="477159F1" w14:textId="12FEFBD5" w:rsidR="00AF3E29" w:rsidRDefault="00AF3E29" w:rsidP="00C1456E"/>
    <w:p w14:paraId="5B0FCFCD" w14:textId="4D41C1A1" w:rsidR="00AF3E29" w:rsidRDefault="00AF3E29" w:rsidP="00C1456E"/>
    <w:p w14:paraId="6EAE2E67" w14:textId="463C2A19" w:rsidR="00AF3E29" w:rsidRDefault="00AF3E29" w:rsidP="00C1456E"/>
    <w:p w14:paraId="0D27D29C" w14:textId="77777777" w:rsidR="00AF3E29" w:rsidRDefault="00AF3E29" w:rsidP="00C1456E"/>
    <w:p w14:paraId="7D6D12F5" w14:textId="16178A2F" w:rsidR="00C1456E" w:rsidRDefault="00C1456E" w:rsidP="00C1456E"/>
    <w:p w14:paraId="201CF3E2" w14:textId="77777777" w:rsidR="00AF3E29" w:rsidRDefault="00AF3E29" w:rsidP="00C1456E"/>
    <w:p w14:paraId="47704E08" w14:textId="454D66CF" w:rsidR="00AF3E29" w:rsidRDefault="00AF3E29" w:rsidP="00AF3E29">
      <w:pPr>
        <w:jc w:val="right"/>
      </w:pPr>
      <w:r>
        <w:t>338 Turbot Street</w:t>
      </w:r>
    </w:p>
    <w:p w14:paraId="3A6E5555" w14:textId="77777777" w:rsidR="00AF3E29" w:rsidRDefault="00AF3E29" w:rsidP="00AF3E29">
      <w:pPr>
        <w:jc w:val="right"/>
      </w:pPr>
      <w:r>
        <w:t>Spring Hill, QLD 4000</w:t>
      </w:r>
    </w:p>
    <w:p w14:paraId="35CC8235" w14:textId="77777777" w:rsidR="00AF3E29" w:rsidRDefault="00AF3E29" w:rsidP="00AF3E29">
      <w:pPr>
        <w:jc w:val="right"/>
      </w:pPr>
      <w:r>
        <w:t>Phone: 3252 8566</w:t>
      </w:r>
    </w:p>
    <w:p w14:paraId="01AC0D6A" w14:textId="77777777" w:rsidR="00AF3E29" w:rsidRDefault="00AF3E29" w:rsidP="00AF3E29">
      <w:pPr>
        <w:jc w:val="right"/>
      </w:pPr>
      <w:r>
        <w:t xml:space="preserve">Website: </w:t>
      </w:r>
      <w:hyperlink r:id="rId9" w:history="1">
        <w:r w:rsidRPr="00A0629A">
          <w:rPr>
            <w:rStyle w:val="Hyperlink"/>
          </w:rPr>
          <w:t>www.qdn.org.au</w:t>
        </w:r>
      </w:hyperlink>
    </w:p>
    <w:p w14:paraId="247A509E" w14:textId="45DC6287" w:rsidR="006B2C98" w:rsidRDefault="006B2C98">
      <w:pPr>
        <w:pBdr>
          <w:top w:val="none" w:sz="0" w:space="0" w:color="auto"/>
          <w:left w:val="none" w:sz="0" w:space="0" w:color="auto"/>
          <w:bottom w:val="none" w:sz="0" w:space="0" w:color="auto"/>
          <w:right w:val="none" w:sz="0" w:space="0" w:color="auto"/>
          <w:between w:val="none" w:sz="0" w:space="0" w:color="auto"/>
        </w:pBdr>
        <w:spacing w:before="0" w:after="160" w:line="259" w:lineRule="auto"/>
        <w:rPr>
          <w:b/>
          <w:color w:val="002060"/>
          <w:sz w:val="36"/>
        </w:rPr>
      </w:pPr>
    </w:p>
    <w:p w14:paraId="037370BA" w14:textId="77777777" w:rsidR="00A66B18" w:rsidRPr="00302217" w:rsidRDefault="00B728DA" w:rsidP="00302217">
      <w:pPr>
        <w:pStyle w:val="NoSpacing"/>
        <w:rPr>
          <w:b/>
          <w:color w:val="002060"/>
          <w:sz w:val="36"/>
        </w:rPr>
      </w:pPr>
      <w:r w:rsidRPr="00302217">
        <w:rPr>
          <w:b/>
          <w:color w:val="002060"/>
          <w:sz w:val="36"/>
        </w:rPr>
        <w:t>Content</w:t>
      </w:r>
      <w:r w:rsidR="000B36A1" w:rsidRPr="00302217">
        <w:rPr>
          <w:b/>
          <w:color w:val="002060"/>
          <w:sz w:val="36"/>
        </w:rPr>
        <w:t>s</w:t>
      </w:r>
    </w:p>
    <w:p w14:paraId="7EB8534D" w14:textId="77777777" w:rsidR="00B56C24" w:rsidRDefault="00B56C24" w:rsidP="00B56C24">
      <w:pPr>
        <w:pBdr>
          <w:bottom w:val="single" w:sz="12" w:space="1" w:color="auto"/>
        </w:pBdr>
        <w:rPr>
          <w:b/>
          <w:color w:val="1F3864" w:themeColor="accent5" w:themeShade="80"/>
        </w:rPr>
      </w:pPr>
    </w:p>
    <w:p w14:paraId="0060B8F9" w14:textId="77777777" w:rsidR="0046782E" w:rsidRDefault="0046782E" w:rsidP="00B56C24">
      <w:pPr>
        <w:pBdr>
          <w:top w:val="none" w:sz="0" w:space="0" w:color="auto"/>
        </w:pBdr>
        <w:rPr>
          <w:b/>
          <w:color w:val="1F3864" w:themeColor="accent5" w:themeShade="80"/>
        </w:rPr>
      </w:pPr>
    </w:p>
    <w:p w14:paraId="300B824C" w14:textId="2B5C4500" w:rsidR="00FE6DAE" w:rsidRDefault="0046782E">
      <w:pPr>
        <w:pStyle w:val="TOC1"/>
        <w:tabs>
          <w:tab w:val="right" w:leader="dot" w:pos="9016"/>
        </w:tabs>
        <w:rPr>
          <w:rFonts w:asciiTheme="minorHAnsi" w:eastAsiaTheme="minorEastAsia" w:hAnsiTheme="minorHAnsi" w:cstheme="minorBidi"/>
          <w:noProof/>
          <w:color w:val="auto"/>
          <w:sz w:val="22"/>
          <w:lang w:val="en-AU"/>
        </w:rPr>
      </w:pPr>
      <w:r>
        <w:fldChar w:fldCharType="begin"/>
      </w:r>
      <w:r>
        <w:instrText xml:space="preserve"> TOC \o "1-2" \h \z \u </w:instrText>
      </w:r>
      <w:r>
        <w:fldChar w:fldCharType="separate"/>
      </w:r>
      <w:hyperlink w:anchor="_Toc6236079" w:history="1">
        <w:r w:rsidR="00FE6DAE" w:rsidRPr="0023077C">
          <w:rPr>
            <w:rStyle w:val="Hyperlink"/>
            <w:noProof/>
          </w:rPr>
          <w:t>Queenslanders with Disability Network Federal Election Platform 2019</w:t>
        </w:r>
        <w:r w:rsidR="00FE6DAE">
          <w:rPr>
            <w:noProof/>
            <w:webHidden/>
          </w:rPr>
          <w:tab/>
        </w:r>
        <w:r w:rsidR="00FE6DAE">
          <w:rPr>
            <w:noProof/>
            <w:webHidden/>
          </w:rPr>
          <w:fldChar w:fldCharType="begin"/>
        </w:r>
        <w:r w:rsidR="00FE6DAE">
          <w:rPr>
            <w:noProof/>
            <w:webHidden/>
          </w:rPr>
          <w:instrText xml:space="preserve"> PAGEREF _Toc6236079 \h </w:instrText>
        </w:r>
        <w:r w:rsidR="00FE6DAE">
          <w:rPr>
            <w:noProof/>
            <w:webHidden/>
          </w:rPr>
        </w:r>
        <w:r w:rsidR="00FE6DAE">
          <w:rPr>
            <w:noProof/>
            <w:webHidden/>
          </w:rPr>
          <w:fldChar w:fldCharType="separate"/>
        </w:r>
        <w:r w:rsidR="00AF3E29">
          <w:rPr>
            <w:noProof/>
            <w:webHidden/>
          </w:rPr>
          <w:t>1</w:t>
        </w:r>
        <w:r w:rsidR="00FE6DAE">
          <w:rPr>
            <w:noProof/>
            <w:webHidden/>
          </w:rPr>
          <w:fldChar w:fldCharType="end"/>
        </w:r>
      </w:hyperlink>
    </w:p>
    <w:p w14:paraId="44926517" w14:textId="707AB291" w:rsidR="00FE6DAE" w:rsidRDefault="00FE6DAE">
      <w:pPr>
        <w:pStyle w:val="TOC1"/>
        <w:tabs>
          <w:tab w:val="right" w:leader="dot" w:pos="9016"/>
        </w:tabs>
        <w:rPr>
          <w:rFonts w:asciiTheme="minorHAnsi" w:eastAsiaTheme="minorEastAsia" w:hAnsiTheme="minorHAnsi" w:cstheme="minorBidi"/>
          <w:noProof/>
          <w:color w:val="auto"/>
          <w:sz w:val="22"/>
          <w:lang w:val="en-AU"/>
        </w:rPr>
      </w:pPr>
      <w:hyperlink w:anchor="_Toc6236080" w:history="1">
        <w:r w:rsidRPr="0023077C">
          <w:rPr>
            <w:rStyle w:val="Hyperlink"/>
            <w:noProof/>
          </w:rPr>
          <w:t>About QDN</w:t>
        </w:r>
        <w:r>
          <w:rPr>
            <w:noProof/>
            <w:webHidden/>
          </w:rPr>
          <w:tab/>
        </w:r>
        <w:r>
          <w:rPr>
            <w:noProof/>
            <w:webHidden/>
          </w:rPr>
          <w:fldChar w:fldCharType="begin"/>
        </w:r>
        <w:r>
          <w:rPr>
            <w:noProof/>
            <w:webHidden/>
          </w:rPr>
          <w:instrText xml:space="preserve"> PAGEREF _Toc6236080 \h </w:instrText>
        </w:r>
        <w:r>
          <w:rPr>
            <w:noProof/>
            <w:webHidden/>
          </w:rPr>
        </w:r>
        <w:r>
          <w:rPr>
            <w:noProof/>
            <w:webHidden/>
          </w:rPr>
          <w:fldChar w:fldCharType="separate"/>
        </w:r>
        <w:r w:rsidR="00AF3E29">
          <w:rPr>
            <w:noProof/>
            <w:webHidden/>
          </w:rPr>
          <w:t>2</w:t>
        </w:r>
        <w:r>
          <w:rPr>
            <w:noProof/>
            <w:webHidden/>
          </w:rPr>
          <w:fldChar w:fldCharType="end"/>
        </w:r>
      </w:hyperlink>
    </w:p>
    <w:p w14:paraId="3F3D0822" w14:textId="4DDAEEF1" w:rsidR="00FE6DAE" w:rsidRDefault="00FE6DAE">
      <w:pPr>
        <w:pStyle w:val="TOC1"/>
        <w:tabs>
          <w:tab w:val="right" w:leader="dot" w:pos="9016"/>
        </w:tabs>
        <w:rPr>
          <w:rFonts w:asciiTheme="minorHAnsi" w:eastAsiaTheme="minorEastAsia" w:hAnsiTheme="minorHAnsi" w:cstheme="minorBidi"/>
          <w:noProof/>
          <w:color w:val="auto"/>
          <w:sz w:val="22"/>
          <w:lang w:val="en-AU"/>
        </w:rPr>
      </w:pPr>
      <w:hyperlink w:anchor="_Toc6236081" w:history="1">
        <w:r w:rsidRPr="0023077C">
          <w:rPr>
            <w:rStyle w:val="Hyperlink"/>
            <w:noProof/>
          </w:rPr>
          <w:t>About QDN’s election platform</w:t>
        </w:r>
        <w:r>
          <w:rPr>
            <w:noProof/>
            <w:webHidden/>
          </w:rPr>
          <w:tab/>
        </w:r>
        <w:r>
          <w:rPr>
            <w:noProof/>
            <w:webHidden/>
          </w:rPr>
          <w:fldChar w:fldCharType="begin"/>
        </w:r>
        <w:r>
          <w:rPr>
            <w:noProof/>
            <w:webHidden/>
          </w:rPr>
          <w:instrText xml:space="preserve"> PAGEREF _Toc6236081 \h </w:instrText>
        </w:r>
        <w:r>
          <w:rPr>
            <w:noProof/>
            <w:webHidden/>
          </w:rPr>
        </w:r>
        <w:r>
          <w:rPr>
            <w:noProof/>
            <w:webHidden/>
          </w:rPr>
          <w:fldChar w:fldCharType="separate"/>
        </w:r>
        <w:r w:rsidR="00AF3E29">
          <w:rPr>
            <w:noProof/>
            <w:webHidden/>
          </w:rPr>
          <w:t>3</w:t>
        </w:r>
        <w:r>
          <w:rPr>
            <w:noProof/>
            <w:webHidden/>
          </w:rPr>
          <w:fldChar w:fldCharType="end"/>
        </w:r>
      </w:hyperlink>
    </w:p>
    <w:p w14:paraId="236DE5F5" w14:textId="15EAFE57" w:rsidR="00FE6DAE" w:rsidRDefault="00FE6DAE">
      <w:pPr>
        <w:pStyle w:val="TOC1"/>
        <w:tabs>
          <w:tab w:val="right" w:leader="dot" w:pos="9016"/>
        </w:tabs>
        <w:rPr>
          <w:rFonts w:asciiTheme="minorHAnsi" w:eastAsiaTheme="minorEastAsia" w:hAnsiTheme="minorHAnsi" w:cstheme="minorBidi"/>
          <w:noProof/>
          <w:color w:val="auto"/>
          <w:sz w:val="22"/>
          <w:lang w:val="en-AU"/>
        </w:rPr>
      </w:pPr>
      <w:hyperlink w:anchor="_Toc6236082" w:history="1">
        <w:r w:rsidRPr="0023077C">
          <w:rPr>
            <w:rStyle w:val="Hyperlink"/>
            <w:noProof/>
          </w:rPr>
          <w:t>QDN’s seven election platform priorities</w:t>
        </w:r>
        <w:r>
          <w:rPr>
            <w:noProof/>
            <w:webHidden/>
          </w:rPr>
          <w:tab/>
        </w:r>
        <w:r>
          <w:rPr>
            <w:noProof/>
            <w:webHidden/>
          </w:rPr>
          <w:fldChar w:fldCharType="begin"/>
        </w:r>
        <w:r>
          <w:rPr>
            <w:noProof/>
            <w:webHidden/>
          </w:rPr>
          <w:instrText xml:space="preserve"> PAGEREF _Toc6236082 \h </w:instrText>
        </w:r>
        <w:r>
          <w:rPr>
            <w:noProof/>
            <w:webHidden/>
          </w:rPr>
        </w:r>
        <w:r>
          <w:rPr>
            <w:noProof/>
            <w:webHidden/>
          </w:rPr>
          <w:fldChar w:fldCharType="separate"/>
        </w:r>
        <w:r w:rsidR="00AF3E29">
          <w:rPr>
            <w:noProof/>
            <w:webHidden/>
          </w:rPr>
          <w:t>4</w:t>
        </w:r>
        <w:r>
          <w:rPr>
            <w:noProof/>
            <w:webHidden/>
          </w:rPr>
          <w:fldChar w:fldCharType="end"/>
        </w:r>
      </w:hyperlink>
    </w:p>
    <w:p w14:paraId="4A1BA72B" w14:textId="794B7C23" w:rsidR="00FE6DAE" w:rsidRDefault="00FE6DAE">
      <w:pPr>
        <w:pStyle w:val="TOC2"/>
        <w:rPr>
          <w:rFonts w:asciiTheme="minorHAnsi" w:eastAsiaTheme="minorEastAsia" w:hAnsiTheme="minorHAnsi" w:cstheme="minorBidi"/>
          <w:color w:val="auto"/>
          <w:sz w:val="22"/>
          <w:lang w:val="en-AU"/>
        </w:rPr>
      </w:pPr>
      <w:hyperlink w:anchor="_Toc6236083" w:history="1">
        <w:r w:rsidRPr="0023077C">
          <w:rPr>
            <w:rStyle w:val="Hyperlink"/>
            <w:b/>
          </w:rPr>
          <w:t>Priority 1 - The National Disability Insurance Scheme</w:t>
        </w:r>
        <w:r>
          <w:rPr>
            <w:webHidden/>
          </w:rPr>
          <w:tab/>
        </w:r>
        <w:r>
          <w:rPr>
            <w:webHidden/>
          </w:rPr>
          <w:fldChar w:fldCharType="begin"/>
        </w:r>
        <w:r>
          <w:rPr>
            <w:webHidden/>
          </w:rPr>
          <w:instrText xml:space="preserve"> PAGEREF _Toc6236083 \h </w:instrText>
        </w:r>
        <w:r>
          <w:rPr>
            <w:webHidden/>
          </w:rPr>
        </w:r>
        <w:r>
          <w:rPr>
            <w:webHidden/>
          </w:rPr>
          <w:fldChar w:fldCharType="separate"/>
        </w:r>
        <w:r w:rsidR="00AF3E29">
          <w:rPr>
            <w:webHidden/>
          </w:rPr>
          <w:t>4</w:t>
        </w:r>
        <w:r>
          <w:rPr>
            <w:webHidden/>
          </w:rPr>
          <w:fldChar w:fldCharType="end"/>
        </w:r>
      </w:hyperlink>
    </w:p>
    <w:p w14:paraId="21E8FB2F" w14:textId="1DDE0D43" w:rsidR="00FE6DAE" w:rsidRDefault="00FE6DAE">
      <w:pPr>
        <w:pStyle w:val="TOC2"/>
        <w:rPr>
          <w:rFonts w:asciiTheme="minorHAnsi" w:eastAsiaTheme="minorEastAsia" w:hAnsiTheme="minorHAnsi" w:cstheme="minorBidi"/>
          <w:color w:val="auto"/>
          <w:sz w:val="22"/>
          <w:lang w:val="en-AU"/>
        </w:rPr>
      </w:pPr>
      <w:hyperlink w:anchor="_Toc6236084" w:history="1">
        <w:r w:rsidRPr="0023077C">
          <w:rPr>
            <w:rStyle w:val="Hyperlink"/>
            <w:b/>
          </w:rPr>
          <w:t>Priority 2 - Royal Commission into violence, abuse, exploitation and neglect of people with disability (the Royal Commission)</w:t>
        </w:r>
        <w:r>
          <w:rPr>
            <w:webHidden/>
          </w:rPr>
          <w:tab/>
        </w:r>
        <w:r>
          <w:rPr>
            <w:webHidden/>
          </w:rPr>
          <w:fldChar w:fldCharType="begin"/>
        </w:r>
        <w:r>
          <w:rPr>
            <w:webHidden/>
          </w:rPr>
          <w:instrText xml:space="preserve"> PAGEREF _Toc6236084 \h </w:instrText>
        </w:r>
        <w:r>
          <w:rPr>
            <w:webHidden/>
          </w:rPr>
        </w:r>
        <w:r>
          <w:rPr>
            <w:webHidden/>
          </w:rPr>
          <w:fldChar w:fldCharType="separate"/>
        </w:r>
        <w:r w:rsidR="00AF3E29">
          <w:rPr>
            <w:webHidden/>
          </w:rPr>
          <w:t>6</w:t>
        </w:r>
        <w:r>
          <w:rPr>
            <w:webHidden/>
          </w:rPr>
          <w:fldChar w:fldCharType="end"/>
        </w:r>
      </w:hyperlink>
    </w:p>
    <w:p w14:paraId="01F8F665" w14:textId="6B78FE8C" w:rsidR="00FE6DAE" w:rsidRDefault="00FE6DAE">
      <w:pPr>
        <w:pStyle w:val="TOC2"/>
        <w:rPr>
          <w:rFonts w:asciiTheme="minorHAnsi" w:eastAsiaTheme="minorEastAsia" w:hAnsiTheme="minorHAnsi" w:cstheme="minorBidi"/>
          <w:color w:val="auto"/>
          <w:sz w:val="22"/>
          <w:lang w:val="en-AU"/>
        </w:rPr>
      </w:pPr>
      <w:hyperlink w:anchor="_Toc6236085" w:history="1">
        <w:r w:rsidRPr="0023077C">
          <w:rPr>
            <w:rStyle w:val="Hyperlink"/>
            <w:b/>
          </w:rPr>
          <w:t>Priority 3 - Housing</w:t>
        </w:r>
        <w:r>
          <w:rPr>
            <w:webHidden/>
          </w:rPr>
          <w:tab/>
        </w:r>
        <w:r>
          <w:rPr>
            <w:webHidden/>
          </w:rPr>
          <w:fldChar w:fldCharType="begin"/>
        </w:r>
        <w:r>
          <w:rPr>
            <w:webHidden/>
          </w:rPr>
          <w:instrText xml:space="preserve"> PAGEREF _Toc6236085 \h </w:instrText>
        </w:r>
        <w:r>
          <w:rPr>
            <w:webHidden/>
          </w:rPr>
        </w:r>
        <w:r>
          <w:rPr>
            <w:webHidden/>
          </w:rPr>
          <w:fldChar w:fldCharType="separate"/>
        </w:r>
        <w:r w:rsidR="00AF3E29">
          <w:rPr>
            <w:webHidden/>
          </w:rPr>
          <w:t>7</w:t>
        </w:r>
        <w:r>
          <w:rPr>
            <w:webHidden/>
          </w:rPr>
          <w:fldChar w:fldCharType="end"/>
        </w:r>
      </w:hyperlink>
    </w:p>
    <w:p w14:paraId="47113CA2" w14:textId="3879BCA2" w:rsidR="00FE6DAE" w:rsidRDefault="00FE6DAE">
      <w:pPr>
        <w:pStyle w:val="TOC2"/>
        <w:rPr>
          <w:rFonts w:asciiTheme="minorHAnsi" w:eastAsiaTheme="minorEastAsia" w:hAnsiTheme="minorHAnsi" w:cstheme="minorBidi"/>
          <w:color w:val="auto"/>
          <w:sz w:val="22"/>
          <w:lang w:val="en-AU"/>
        </w:rPr>
      </w:pPr>
      <w:hyperlink w:anchor="_Toc6236086" w:history="1">
        <w:r w:rsidRPr="0023077C">
          <w:rPr>
            <w:rStyle w:val="Hyperlink"/>
            <w:b/>
          </w:rPr>
          <w:t>Priority 4 - Transport</w:t>
        </w:r>
        <w:r>
          <w:rPr>
            <w:webHidden/>
          </w:rPr>
          <w:tab/>
        </w:r>
        <w:r>
          <w:rPr>
            <w:webHidden/>
          </w:rPr>
          <w:fldChar w:fldCharType="begin"/>
        </w:r>
        <w:r>
          <w:rPr>
            <w:webHidden/>
          </w:rPr>
          <w:instrText xml:space="preserve"> PAGEREF _Toc6236086 \h </w:instrText>
        </w:r>
        <w:r>
          <w:rPr>
            <w:webHidden/>
          </w:rPr>
        </w:r>
        <w:r>
          <w:rPr>
            <w:webHidden/>
          </w:rPr>
          <w:fldChar w:fldCharType="separate"/>
        </w:r>
        <w:r w:rsidR="00AF3E29">
          <w:rPr>
            <w:webHidden/>
          </w:rPr>
          <w:t>9</w:t>
        </w:r>
        <w:r>
          <w:rPr>
            <w:webHidden/>
          </w:rPr>
          <w:fldChar w:fldCharType="end"/>
        </w:r>
      </w:hyperlink>
    </w:p>
    <w:p w14:paraId="7B4FF8AE" w14:textId="745D4423" w:rsidR="00FE6DAE" w:rsidRDefault="00FE6DAE">
      <w:pPr>
        <w:pStyle w:val="TOC2"/>
        <w:rPr>
          <w:rFonts w:asciiTheme="minorHAnsi" w:eastAsiaTheme="minorEastAsia" w:hAnsiTheme="minorHAnsi" w:cstheme="minorBidi"/>
          <w:color w:val="auto"/>
          <w:sz w:val="22"/>
          <w:lang w:val="en-AU"/>
        </w:rPr>
      </w:pPr>
      <w:hyperlink w:anchor="_Toc6236087" w:history="1">
        <w:r w:rsidRPr="0023077C">
          <w:rPr>
            <w:rStyle w:val="Hyperlink"/>
            <w:b/>
          </w:rPr>
          <w:t>Priority 5 - Health</w:t>
        </w:r>
        <w:r>
          <w:rPr>
            <w:webHidden/>
          </w:rPr>
          <w:tab/>
        </w:r>
        <w:r>
          <w:rPr>
            <w:webHidden/>
          </w:rPr>
          <w:fldChar w:fldCharType="begin"/>
        </w:r>
        <w:r>
          <w:rPr>
            <w:webHidden/>
          </w:rPr>
          <w:instrText xml:space="preserve"> PAGEREF _Toc6236087 \h </w:instrText>
        </w:r>
        <w:r>
          <w:rPr>
            <w:webHidden/>
          </w:rPr>
        </w:r>
        <w:r>
          <w:rPr>
            <w:webHidden/>
          </w:rPr>
          <w:fldChar w:fldCharType="separate"/>
        </w:r>
        <w:r w:rsidR="00AF3E29">
          <w:rPr>
            <w:webHidden/>
          </w:rPr>
          <w:t>11</w:t>
        </w:r>
        <w:r>
          <w:rPr>
            <w:webHidden/>
          </w:rPr>
          <w:fldChar w:fldCharType="end"/>
        </w:r>
      </w:hyperlink>
    </w:p>
    <w:p w14:paraId="46041649" w14:textId="171779B7" w:rsidR="00FE6DAE" w:rsidRDefault="00FE6DAE">
      <w:pPr>
        <w:pStyle w:val="TOC2"/>
        <w:rPr>
          <w:rFonts w:asciiTheme="minorHAnsi" w:eastAsiaTheme="minorEastAsia" w:hAnsiTheme="minorHAnsi" w:cstheme="minorBidi"/>
          <w:color w:val="auto"/>
          <w:sz w:val="22"/>
          <w:lang w:val="en-AU"/>
        </w:rPr>
      </w:pPr>
      <w:hyperlink w:anchor="_Toc6236088" w:history="1">
        <w:r w:rsidRPr="0023077C">
          <w:rPr>
            <w:rStyle w:val="Hyperlink"/>
            <w:b/>
          </w:rPr>
          <w:t>Priority 6 - Employment</w:t>
        </w:r>
        <w:r>
          <w:rPr>
            <w:webHidden/>
          </w:rPr>
          <w:tab/>
        </w:r>
        <w:r>
          <w:rPr>
            <w:webHidden/>
          </w:rPr>
          <w:fldChar w:fldCharType="begin"/>
        </w:r>
        <w:r>
          <w:rPr>
            <w:webHidden/>
          </w:rPr>
          <w:instrText xml:space="preserve"> PAGEREF _Toc6236088 \h </w:instrText>
        </w:r>
        <w:r>
          <w:rPr>
            <w:webHidden/>
          </w:rPr>
        </w:r>
        <w:r>
          <w:rPr>
            <w:webHidden/>
          </w:rPr>
          <w:fldChar w:fldCharType="separate"/>
        </w:r>
        <w:r w:rsidR="00AF3E29">
          <w:rPr>
            <w:webHidden/>
          </w:rPr>
          <w:t>13</w:t>
        </w:r>
        <w:r>
          <w:rPr>
            <w:webHidden/>
          </w:rPr>
          <w:fldChar w:fldCharType="end"/>
        </w:r>
      </w:hyperlink>
    </w:p>
    <w:p w14:paraId="25D7B7BA" w14:textId="2ABFE591" w:rsidR="00FE6DAE" w:rsidRDefault="00FE6DAE">
      <w:pPr>
        <w:pStyle w:val="TOC2"/>
        <w:rPr>
          <w:rFonts w:asciiTheme="minorHAnsi" w:eastAsiaTheme="minorEastAsia" w:hAnsiTheme="minorHAnsi" w:cstheme="minorBidi"/>
          <w:color w:val="auto"/>
          <w:sz w:val="22"/>
          <w:lang w:val="en-AU"/>
        </w:rPr>
      </w:pPr>
      <w:hyperlink w:anchor="_Toc6236089" w:history="1">
        <w:r w:rsidRPr="0023077C">
          <w:rPr>
            <w:rStyle w:val="Hyperlink"/>
            <w:b/>
          </w:rPr>
          <w:t>Priority 7 - National Disability Agreement and National Disability Strategy</w:t>
        </w:r>
        <w:r>
          <w:rPr>
            <w:webHidden/>
          </w:rPr>
          <w:tab/>
        </w:r>
        <w:r>
          <w:rPr>
            <w:webHidden/>
          </w:rPr>
          <w:fldChar w:fldCharType="begin"/>
        </w:r>
        <w:r>
          <w:rPr>
            <w:webHidden/>
          </w:rPr>
          <w:instrText xml:space="preserve"> PAGEREF _Toc6236089 \h </w:instrText>
        </w:r>
        <w:r>
          <w:rPr>
            <w:webHidden/>
          </w:rPr>
        </w:r>
        <w:r>
          <w:rPr>
            <w:webHidden/>
          </w:rPr>
          <w:fldChar w:fldCharType="separate"/>
        </w:r>
        <w:r w:rsidR="00AF3E29">
          <w:rPr>
            <w:webHidden/>
          </w:rPr>
          <w:t>14</w:t>
        </w:r>
        <w:r>
          <w:rPr>
            <w:webHidden/>
          </w:rPr>
          <w:fldChar w:fldCharType="end"/>
        </w:r>
      </w:hyperlink>
    </w:p>
    <w:p w14:paraId="5A2C5DDC" w14:textId="3EB13A04" w:rsidR="00A66B18" w:rsidRDefault="0046782E">
      <w:pPr>
        <w:pBdr>
          <w:top w:val="none" w:sz="0" w:space="0" w:color="auto"/>
          <w:left w:val="none" w:sz="0" w:space="0" w:color="auto"/>
          <w:bottom w:val="none" w:sz="0" w:space="0" w:color="auto"/>
          <w:right w:val="none" w:sz="0" w:space="0" w:color="auto"/>
          <w:between w:val="none" w:sz="0" w:space="0" w:color="auto"/>
        </w:pBdr>
        <w:spacing w:before="0" w:after="160" w:line="259" w:lineRule="auto"/>
      </w:pPr>
      <w:r>
        <w:fldChar w:fldCharType="end"/>
      </w:r>
    </w:p>
    <w:p w14:paraId="7319A5EC" w14:textId="77777777" w:rsidR="0075542F" w:rsidRDefault="0075542F">
      <w:pPr>
        <w:pBdr>
          <w:top w:val="none" w:sz="0" w:space="0" w:color="auto"/>
          <w:left w:val="none" w:sz="0" w:space="0" w:color="auto"/>
          <w:bottom w:val="none" w:sz="0" w:space="0" w:color="auto"/>
          <w:right w:val="none" w:sz="0" w:space="0" w:color="auto"/>
          <w:between w:val="none" w:sz="0" w:space="0" w:color="auto"/>
        </w:pBdr>
        <w:spacing w:before="0" w:after="160" w:line="259" w:lineRule="auto"/>
      </w:pPr>
    </w:p>
    <w:p w14:paraId="39FF493E" w14:textId="77777777" w:rsidR="0075542F" w:rsidRDefault="0075542F">
      <w:pPr>
        <w:pBdr>
          <w:top w:val="none" w:sz="0" w:space="0" w:color="auto"/>
          <w:left w:val="none" w:sz="0" w:space="0" w:color="auto"/>
          <w:bottom w:val="none" w:sz="0" w:space="0" w:color="auto"/>
          <w:right w:val="none" w:sz="0" w:space="0" w:color="auto"/>
          <w:between w:val="none" w:sz="0" w:space="0" w:color="auto"/>
        </w:pBdr>
        <w:spacing w:before="0" w:after="160" w:line="259" w:lineRule="auto"/>
      </w:pPr>
    </w:p>
    <w:p w14:paraId="11A9A8C4" w14:textId="77777777" w:rsidR="00C1456E" w:rsidRDefault="00C1456E">
      <w:pPr>
        <w:pBdr>
          <w:top w:val="none" w:sz="0" w:space="0" w:color="auto"/>
          <w:left w:val="none" w:sz="0" w:space="0" w:color="auto"/>
          <w:bottom w:val="none" w:sz="0" w:space="0" w:color="auto"/>
          <w:right w:val="none" w:sz="0" w:space="0" w:color="auto"/>
          <w:between w:val="none" w:sz="0" w:space="0" w:color="auto"/>
        </w:pBdr>
        <w:spacing w:before="0" w:after="160" w:line="259" w:lineRule="auto"/>
      </w:pPr>
    </w:p>
    <w:p w14:paraId="34BC277E" w14:textId="77777777" w:rsidR="008B5E3C" w:rsidRDefault="008B5E3C" w:rsidP="006B2C98">
      <w:pPr>
        <w:pStyle w:val="Heading1"/>
      </w:pPr>
    </w:p>
    <w:p w14:paraId="3143E0C5" w14:textId="77777777" w:rsidR="008B5E3C" w:rsidRDefault="008B5E3C" w:rsidP="006B2C98">
      <w:pPr>
        <w:pStyle w:val="Heading1"/>
      </w:pPr>
    </w:p>
    <w:p w14:paraId="1412B0CC" w14:textId="77777777" w:rsidR="008B5E3C" w:rsidRDefault="008B5E3C" w:rsidP="006B2C98">
      <w:pPr>
        <w:pStyle w:val="Heading1"/>
      </w:pPr>
    </w:p>
    <w:p w14:paraId="2C1543AC" w14:textId="77777777" w:rsidR="008B5E3C" w:rsidRDefault="008B5E3C" w:rsidP="006B2C98">
      <w:pPr>
        <w:pStyle w:val="Heading1"/>
      </w:pPr>
    </w:p>
    <w:p w14:paraId="46D1F4DA" w14:textId="77777777" w:rsidR="006B2C98" w:rsidRDefault="006B2C98" w:rsidP="006B2C98">
      <w:pPr>
        <w:pStyle w:val="Heading1"/>
      </w:pPr>
      <w:bookmarkStart w:id="2" w:name="_Toc6236080"/>
      <w:r>
        <w:t>About QDN</w:t>
      </w:r>
      <w:bookmarkEnd w:id="2"/>
    </w:p>
    <w:p w14:paraId="7FAB2117" w14:textId="77777777" w:rsidR="006B2C98" w:rsidRDefault="00AB7FF0" w:rsidP="008B5E3C">
      <w:pPr>
        <w:jc w:val="both"/>
      </w:pPr>
      <w:hyperlink r:id="rId10" w:history="1">
        <w:r w:rsidR="006B2C98" w:rsidRPr="00B728DA">
          <w:rPr>
            <w:rStyle w:val="Hyperlink"/>
          </w:rPr>
          <w:t>Queenslanders with Disability Network</w:t>
        </w:r>
      </w:hyperlink>
      <w:r w:rsidR="006B2C98">
        <w:t xml:space="preserve"> (QDN) is an organisation of, for, and with people with disability</w:t>
      </w:r>
      <w:r w:rsidR="00302E32">
        <w:t xml:space="preserve">.  The </w:t>
      </w:r>
      <w:r w:rsidR="006B2C98">
        <w:t>organisation’s motto is “nothing about us without us”.</w:t>
      </w:r>
      <w:r w:rsidR="006B2C98" w:rsidRPr="004B41D3">
        <w:t xml:space="preserve"> </w:t>
      </w:r>
      <w:r w:rsidR="006B2C98">
        <w:t xml:space="preserve">QDN operates a state-wide network of members who provide information, feedback and views from a consumer perspective to inform systemic policy feedback </w:t>
      </w:r>
      <w:r w:rsidR="00754023">
        <w:t xml:space="preserve">and advocacy </w:t>
      </w:r>
      <w:r w:rsidR="006B2C98">
        <w:t>to Government and peak bodies.</w:t>
      </w:r>
    </w:p>
    <w:p w14:paraId="63215DA6" w14:textId="77777777" w:rsidR="00B728DA" w:rsidRDefault="00783AC0" w:rsidP="0075542F">
      <w:pPr>
        <w:pStyle w:val="Heading1"/>
      </w:pPr>
      <w:r>
        <w:br w:type="page"/>
      </w:r>
      <w:bookmarkStart w:id="3" w:name="_Toc6236081"/>
      <w:r w:rsidR="000B36A1">
        <w:lastRenderedPageBreak/>
        <w:t>About QDN’s election platform</w:t>
      </w:r>
      <w:bookmarkEnd w:id="3"/>
    </w:p>
    <w:p w14:paraId="12129188" w14:textId="69BD8892" w:rsidR="000B36A1" w:rsidRDefault="000B36A1" w:rsidP="00DF0629">
      <w:pPr>
        <w:jc w:val="both"/>
      </w:pPr>
      <w:r w:rsidRPr="000312DB">
        <w:t xml:space="preserve">QDN’s election platform identifies seven key </w:t>
      </w:r>
      <w:r w:rsidR="00AF25EE" w:rsidRPr="000312DB">
        <w:t xml:space="preserve">priority </w:t>
      </w:r>
      <w:r w:rsidRPr="000312DB">
        <w:t xml:space="preserve">areas </w:t>
      </w:r>
      <w:r w:rsidR="00AF25EE" w:rsidRPr="000312DB">
        <w:t>and recommendations</w:t>
      </w:r>
      <w:r w:rsidR="006658C7" w:rsidRPr="000312DB">
        <w:t>.</w:t>
      </w:r>
      <w:r w:rsidR="00AF25EE" w:rsidRPr="000312DB">
        <w:t xml:space="preserve"> We </w:t>
      </w:r>
      <w:r w:rsidR="006658C7" w:rsidRPr="000312DB">
        <w:t>a</w:t>
      </w:r>
      <w:r w:rsidRPr="000312DB">
        <w:t xml:space="preserve">re seeking </w:t>
      </w:r>
      <w:r w:rsidR="006658C7" w:rsidRPr="000312DB">
        <w:t xml:space="preserve">commitment </w:t>
      </w:r>
      <w:r w:rsidRPr="000312DB">
        <w:t>from candidates</w:t>
      </w:r>
      <w:r w:rsidR="00184483">
        <w:t xml:space="preserve"> </w:t>
      </w:r>
      <w:r w:rsidRPr="000312DB">
        <w:t>in the federal election</w:t>
      </w:r>
      <w:r w:rsidR="006658C7" w:rsidRPr="000312DB">
        <w:t xml:space="preserve"> in relation to the recommendations under each </w:t>
      </w:r>
      <w:r w:rsidR="00302E32">
        <w:t>priority</w:t>
      </w:r>
      <w:r w:rsidR="006658C7" w:rsidRPr="000312DB">
        <w:t xml:space="preserve">. </w:t>
      </w:r>
      <w:r w:rsidRPr="000312DB">
        <w:t xml:space="preserve">These seven key </w:t>
      </w:r>
      <w:r w:rsidR="00302E32">
        <w:t xml:space="preserve">priority </w:t>
      </w:r>
      <w:r w:rsidRPr="000312DB">
        <w:t>areas of commitment are informed by:</w:t>
      </w:r>
      <w:r>
        <w:t xml:space="preserve"> </w:t>
      </w:r>
    </w:p>
    <w:p w14:paraId="6D65DB48" w14:textId="77777777" w:rsidR="000B36A1" w:rsidRDefault="000B36A1" w:rsidP="00202833">
      <w:pPr>
        <w:pStyle w:val="ListParagraph"/>
        <w:numPr>
          <w:ilvl w:val="0"/>
          <w:numId w:val="13"/>
        </w:numPr>
        <w:jc w:val="both"/>
      </w:pPr>
      <w:r>
        <w:t xml:space="preserve">Our 2,000 strong membership and support base </w:t>
      </w:r>
    </w:p>
    <w:p w14:paraId="779A40EE" w14:textId="77777777" w:rsidR="000B36A1" w:rsidRDefault="000B36A1" w:rsidP="003A2096">
      <w:pPr>
        <w:pStyle w:val="ListParagraph"/>
        <w:numPr>
          <w:ilvl w:val="0"/>
          <w:numId w:val="13"/>
        </w:numPr>
        <w:jc w:val="both"/>
      </w:pPr>
      <w:r>
        <w:t xml:space="preserve">Our </w:t>
      </w:r>
      <w:r w:rsidRPr="00A961B5">
        <w:t xml:space="preserve">21 </w:t>
      </w:r>
      <w:hyperlink r:id="rId11" w:history="1">
        <w:r w:rsidRPr="00B728DA">
          <w:rPr>
            <w:rStyle w:val="Hyperlink"/>
          </w:rPr>
          <w:t>Local Support Groups</w:t>
        </w:r>
      </w:hyperlink>
      <w:r w:rsidRPr="00A961B5">
        <w:t xml:space="preserve"> across the state</w:t>
      </w:r>
    </w:p>
    <w:p w14:paraId="73B9DA53" w14:textId="726F14AF" w:rsidR="000B36A1" w:rsidRDefault="000B36A1" w:rsidP="00FD6668">
      <w:pPr>
        <w:pStyle w:val="ListParagraph"/>
        <w:numPr>
          <w:ilvl w:val="0"/>
          <w:numId w:val="13"/>
        </w:numPr>
        <w:jc w:val="both"/>
      </w:pPr>
      <w:r>
        <w:t xml:space="preserve">QDN work and engagement with </w:t>
      </w:r>
      <w:r w:rsidR="00AF25EE">
        <w:t xml:space="preserve">over </w:t>
      </w:r>
      <w:r w:rsidR="00FD7AA5" w:rsidRPr="00FE6DAE">
        <w:t>21</w:t>
      </w:r>
      <w:r w:rsidR="00FE6DAE">
        <w:t>,</w:t>
      </w:r>
      <w:r w:rsidR="00FD7AA5" w:rsidRPr="00FE6DAE">
        <w:t>300</w:t>
      </w:r>
      <w:r w:rsidR="00AF25EE">
        <w:t xml:space="preserve"> people with </w:t>
      </w:r>
      <w:r>
        <w:t>disability</w:t>
      </w:r>
      <w:r w:rsidR="00E33A53">
        <w:t xml:space="preserve"> and their families</w:t>
      </w:r>
      <w:r>
        <w:t xml:space="preserve"> in delivering the following projects and initiatives</w:t>
      </w:r>
      <w:r w:rsidR="008A4A8E">
        <w:t>:</w:t>
      </w:r>
    </w:p>
    <w:p w14:paraId="3BF9A9B3" w14:textId="77777777" w:rsidR="000B36A1" w:rsidRPr="00157D89" w:rsidRDefault="00AB7FF0" w:rsidP="00184483">
      <w:pPr>
        <w:pBdr>
          <w:top w:val="none" w:sz="0" w:space="0" w:color="auto"/>
          <w:left w:val="none" w:sz="0" w:space="0" w:color="auto"/>
          <w:bottom w:val="none" w:sz="0" w:space="0" w:color="auto"/>
          <w:right w:val="none" w:sz="0" w:space="0" w:color="auto"/>
          <w:between w:val="none" w:sz="0" w:space="0" w:color="auto"/>
        </w:pBdr>
        <w:ind w:left="1440"/>
        <w:jc w:val="both"/>
        <w:rPr>
          <w:rFonts w:eastAsia="Times New Roman"/>
          <w:b/>
          <w:bCs/>
        </w:rPr>
      </w:pPr>
      <w:hyperlink r:id="rId12" w:history="1">
        <w:r w:rsidR="000B36A1" w:rsidRPr="00B728DA">
          <w:rPr>
            <w:rStyle w:val="Hyperlink"/>
          </w:rPr>
          <w:t xml:space="preserve">NDIS </w:t>
        </w:r>
        <w:r w:rsidR="000B36A1" w:rsidRPr="00B728DA">
          <w:rPr>
            <w:rStyle w:val="Hyperlink"/>
            <w:rFonts w:eastAsia="Times New Roman"/>
            <w:bCs/>
          </w:rPr>
          <w:t>Peer to Peer Advocacy</w:t>
        </w:r>
      </w:hyperlink>
    </w:p>
    <w:p w14:paraId="73F00221" w14:textId="77777777" w:rsidR="000B36A1" w:rsidRPr="00157D89" w:rsidRDefault="00AB7FF0" w:rsidP="00184483">
      <w:pPr>
        <w:pBdr>
          <w:top w:val="none" w:sz="0" w:space="0" w:color="auto"/>
          <w:left w:val="none" w:sz="0" w:space="0" w:color="auto"/>
          <w:bottom w:val="none" w:sz="0" w:space="0" w:color="auto"/>
          <w:right w:val="none" w:sz="0" w:space="0" w:color="auto"/>
          <w:between w:val="none" w:sz="0" w:space="0" w:color="auto"/>
        </w:pBdr>
        <w:ind w:left="1440"/>
        <w:jc w:val="both"/>
        <w:rPr>
          <w:rFonts w:eastAsia="Times New Roman"/>
          <w:b/>
          <w:bCs/>
        </w:rPr>
      </w:pPr>
      <w:hyperlink r:id="rId13" w:history="1">
        <w:r w:rsidR="000B36A1" w:rsidRPr="00157D89">
          <w:rPr>
            <w:rStyle w:val="Hyperlink"/>
            <w:rFonts w:eastAsia="Times New Roman"/>
            <w:bCs/>
          </w:rPr>
          <w:t>Changing Lives, Changing Communities</w:t>
        </w:r>
      </w:hyperlink>
      <w:r w:rsidR="000B36A1" w:rsidRPr="00157D89">
        <w:rPr>
          <w:rFonts w:eastAsia="Times New Roman"/>
          <w:bCs/>
        </w:rPr>
        <w:t xml:space="preserve"> </w:t>
      </w:r>
    </w:p>
    <w:p w14:paraId="598E9E7A" w14:textId="77777777" w:rsidR="000B36A1" w:rsidRPr="00157D89" w:rsidRDefault="00AB7FF0" w:rsidP="00184483">
      <w:pPr>
        <w:pBdr>
          <w:top w:val="none" w:sz="0" w:space="0" w:color="auto"/>
          <w:left w:val="none" w:sz="0" w:space="0" w:color="auto"/>
          <w:bottom w:val="none" w:sz="0" w:space="0" w:color="auto"/>
          <w:right w:val="none" w:sz="0" w:space="0" w:color="auto"/>
          <w:between w:val="none" w:sz="0" w:space="0" w:color="auto"/>
        </w:pBdr>
        <w:ind w:left="1440"/>
        <w:jc w:val="both"/>
        <w:rPr>
          <w:rFonts w:eastAsia="Times New Roman"/>
          <w:b/>
          <w:bCs/>
        </w:rPr>
      </w:pPr>
      <w:hyperlink r:id="rId14" w:history="1">
        <w:r w:rsidR="000B36A1" w:rsidRPr="00157D89">
          <w:rPr>
            <w:rStyle w:val="Hyperlink"/>
            <w:rFonts w:eastAsia="Times New Roman"/>
            <w:bCs/>
          </w:rPr>
          <w:t>Getting on the NDIS Grid</w:t>
        </w:r>
      </w:hyperlink>
      <w:r w:rsidR="000B36A1" w:rsidRPr="00157D89">
        <w:rPr>
          <w:rFonts w:eastAsia="Times New Roman"/>
          <w:bCs/>
        </w:rPr>
        <w:t xml:space="preserve"> </w:t>
      </w:r>
    </w:p>
    <w:p w14:paraId="4F629D23" w14:textId="77777777" w:rsidR="000B36A1" w:rsidRPr="00A961B5" w:rsidRDefault="00AB7FF0" w:rsidP="00184483">
      <w:pPr>
        <w:pBdr>
          <w:top w:val="none" w:sz="0" w:space="0" w:color="auto"/>
          <w:left w:val="none" w:sz="0" w:space="0" w:color="auto"/>
          <w:bottom w:val="none" w:sz="0" w:space="0" w:color="auto"/>
          <w:right w:val="none" w:sz="0" w:space="0" w:color="auto"/>
          <w:between w:val="none" w:sz="0" w:space="0" w:color="auto"/>
        </w:pBdr>
        <w:ind w:left="1440"/>
        <w:jc w:val="both"/>
        <w:rPr>
          <w:rFonts w:eastAsia="Times New Roman"/>
          <w:bCs/>
        </w:rPr>
      </w:pPr>
      <w:hyperlink r:id="rId15" w:history="1">
        <w:r w:rsidR="000B36A1" w:rsidRPr="00B728DA">
          <w:rPr>
            <w:rStyle w:val="Hyperlink"/>
            <w:rFonts w:eastAsia="Times New Roman"/>
            <w:bCs/>
          </w:rPr>
          <w:t xml:space="preserve">Ready to go NDIS Participant </w:t>
        </w:r>
        <w:r w:rsidR="00AF25EE">
          <w:rPr>
            <w:rStyle w:val="Hyperlink"/>
            <w:rFonts w:eastAsia="Times New Roman"/>
            <w:bCs/>
          </w:rPr>
          <w:t>R</w:t>
        </w:r>
        <w:r w:rsidR="000B36A1" w:rsidRPr="00B728DA">
          <w:rPr>
            <w:rStyle w:val="Hyperlink"/>
            <w:rFonts w:eastAsia="Times New Roman"/>
            <w:bCs/>
          </w:rPr>
          <w:t>eadiness project</w:t>
        </w:r>
      </w:hyperlink>
    </w:p>
    <w:p w14:paraId="15333A5C" w14:textId="77777777" w:rsidR="000B36A1" w:rsidRPr="00157D89" w:rsidRDefault="00AB7FF0" w:rsidP="00184483">
      <w:pPr>
        <w:pBdr>
          <w:top w:val="none" w:sz="0" w:space="0" w:color="auto"/>
          <w:left w:val="none" w:sz="0" w:space="0" w:color="auto"/>
          <w:bottom w:val="none" w:sz="0" w:space="0" w:color="auto"/>
          <w:right w:val="none" w:sz="0" w:space="0" w:color="auto"/>
          <w:between w:val="none" w:sz="0" w:space="0" w:color="auto"/>
        </w:pBdr>
        <w:ind w:left="1440"/>
        <w:jc w:val="both"/>
        <w:rPr>
          <w:rFonts w:eastAsiaTheme="minorHAnsi"/>
        </w:rPr>
      </w:pPr>
      <w:hyperlink r:id="rId16" w:history="1">
        <w:r w:rsidR="000B36A1" w:rsidRPr="00157D89">
          <w:rPr>
            <w:rStyle w:val="Hyperlink"/>
            <w:rFonts w:eastAsia="Times New Roman"/>
            <w:bCs/>
          </w:rPr>
          <w:t>Bright Sparks</w:t>
        </w:r>
      </w:hyperlink>
      <w:r w:rsidR="000B36A1">
        <w:rPr>
          <w:rStyle w:val="Hyperlink"/>
          <w:rFonts w:eastAsia="Times New Roman"/>
          <w:bCs/>
        </w:rPr>
        <w:t xml:space="preserve">  </w:t>
      </w:r>
    </w:p>
    <w:p w14:paraId="69528B73" w14:textId="77777777" w:rsidR="000B36A1" w:rsidRPr="00184483" w:rsidRDefault="00AB7FF0" w:rsidP="00184483">
      <w:pPr>
        <w:pBdr>
          <w:top w:val="none" w:sz="0" w:space="0" w:color="auto"/>
          <w:left w:val="none" w:sz="0" w:space="0" w:color="auto"/>
          <w:bottom w:val="none" w:sz="0" w:space="0" w:color="auto"/>
          <w:right w:val="none" w:sz="0" w:space="0" w:color="auto"/>
          <w:between w:val="none" w:sz="0" w:space="0" w:color="auto"/>
        </w:pBdr>
        <w:ind w:left="1440"/>
        <w:jc w:val="both"/>
        <w:rPr>
          <w:rStyle w:val="Hyperlink"/>
          <w:rFonts w:eastAsia="Times New Roman"/>
          <w:b/>
          <w:bCs/>
          <w:color w:val="000000"/>
          <w:u w:val="none"/>
        </w:rPr>
      </w:pPr>
      <w:hyperlink r:id="rId17" w:history="1">
        <w:r w:rsidR="000B36A1" w:rsidRPr="00184483">
          <w:rPr>
            <w:rStyle w:val="Hyperlink"/>
            <w:rFonts w:eastAsia="Times New Roman"/>
            <w:bCs/>
          </w:rPr>
          <w:t>QDN Housing Position Paper – Going for Gold: Accessible, Affordable Housing Now</w:t>
        </w:r>
      </w:hyperlink>
    </w:p>
    <w:p w14:paraId="1EBCA52E" w14:textId="77777777" w:rsidR="00AF25EE" w:rsidRPr="00AF25EE" w:rsidRDefault="00AF25EE" w:rsidP="00AF25EE">
      <w:pPr>
        <w:pBdr>
          <w:top w:val="none" w:sz="0" w:space="0" w:color="auto"/>
          <w:left w:val="none" w:sz="0" w:space="0" w:color="auto"/>
          <w:bottom w:val="none" w:sz="0" w:space="0" w:color="auto"/>
          <w:right w:val="none" w:sz="0" w:space="0" w:color="auto"/>
          <w:between w:val="none" w:sz="0" w:space="0" w:color="auto"/>
        </w:pBdr>
        <w:ind w:left="720"/>
        <w:jc w:val="both"/>
        <w:rPr>
          <w:rFonts w:eastAsia="Times New Roman"/>
          <w:b/>
          <w:bCs/>
        </w:rPr>
      </w:pPr>
    </w:p>
    <w:p w14:paraId="4619867D" w14:textId="58580BBF" w:rsidR="006658C7" w:rsidRDefault="006658C7" w:rsidP="008A4A8E">
      <w:pPr>
        <w:jc w:val="both"/>
      </w:pPr>
      <w:r w:rsidRPr="006658C7">
        <w:t>Almost 1 in every 5 Queenslanders has a disability</w:t>
      </w:r>
      <w:r w:rsidR="00302E32">
        <w:t xml:space="preserve">.  </w:t>
      </w:r>
      <w:r w:rsidR="00184483">
        <w:t>T</w:t>
      </w:r>
      <w:r w:rsidR="00184483" w:rsidRPr="006658C7">
        <w:t>hat is</w:t>
      </w:r>
      <w:r w:rsidRPr="006658C7">
        <w:t xml:space="preserve"> almost 900,000 people, and approximately 91,000 of these people are expected to enter the National Disability Insurance Scheme (NDIS) as participants in Queensland by July 2019 (ABS 2012).</w:t>
      </w:r>
    </w:p>
    <w:p w14:paraId="5C494CC3" w14:textId="39CA63BE" w:rsidR="00C57925" w:rsidRDefault="00C57925" w:rsidP="008A4A8E">
      <w:pPr>
        <w:jc w:val="both"/>
      </w:pPr>
      <w:r w:rsidRPr="00C57925">
        <w:t>QDN’s election platform focuses on the responsibility of the Australian Government in delivering and funding essential accessible, affordable and quality Government</w:t>
      </w:r>
      <w:r w:rsidR="00AF25EE">
        <w:t xml:space="preserve">, </w:t>
      </w:r>
      <w:r w:rsidRPr="00C57925">
        <w:t xml:space="preserve">community </w:t>
      </w:r>
      <w:r w:rsidR="00AF25EE">
        <w:t xml:space="preserve">and </w:t>
      </w:r>
      <w:r w:rsidRPr="00C57925">
        <w:t xml:space="preserve">mainstream services to </w:t>
      </w:r>
      <w:r w:rsidR="006658C7">
        <w:t xml:space="preserve">Queenslanders with </w:t>
      </w:r>
      <w:r w:rsidRPr="00C57925">
        <w:t xml:space="preserve">disability. This includes its critical role in leading </w:t>
      </w:r>
      <w:r w:rsidR="006658C7">
        <w:t xml:space="preserve">the </w:t>
      </w:r>
      <w:r w:rsidRPr="00C57925">
        <w:t xml:space="preserve">full inclusion and participation of people with disability in economic, social, civic and cultural spheres of life.  </w:t>
      </w:r>
    </w:p>
    <w:p w14:paraId="24615015" w14:textId="77777777" w:rsidR="00AB7FF0" w:rsidRPr="006658C7" w:rsidRDefault="00AB7FF0" w:rsidP="008A4A8E">
      <w:pPr>
        <w:jc w:val="both"/>
      </w:pPr>
    </w:p>
    <w:p w14:paraId="0312CF80" w14:textId="77777777" w:rsidR="00C57925" w:rsidRDefault="00C57925" w:rsidP="00DF0629">
      <w:pPr>
        <w:pBdr>
          <w:top w:val="none" w:sz="0" w:space="0" w:color="auto"/>
          <w:left w:val="none" w:sz="0" w:space="0" w:color="auto"/>
          <w:bottom w:val="none" w:sz="0" w:space="0" w:color="auto"/>
          <w:right w:val="none" w:sz="0" w:space="0" w:color="auto"/>
          <w:between w:val="none" w:sz="0" w:space="0" w:color="auto"/>
        </w:pBdr>
        <w:jc w:val="both"/>
        <w:rPr>
          <w:rFonts w:eastAsia="Times New Roman"/>
          <w:b/>
          <w:bCs/>
        </w:rPr>
      </w:pPr>
    </w:p>
    <w:p w14:paraId="03AF223E" w14:textId="77777777" w:rsidR="000B36A1" w:rsidRDefault="000B36A1" w:rsidP="008B5E3C">
      <w:pPr>
        <w:jc w:val="both"/>
      </w:pPr>
      <w:r>
        <w:t>___________________________________________________________________</w:t>
      </w:r>
    </w:p>
    <w:p w14:paraId="70C1559A" w14:textId="77777777" w:rsidR="000B36A1" w:rsidRDefault="000B36A1" w:rsidP="008B5E3C">
      <w:pPr>
        <w:jc w:val="both"/>
      </w:pPr>
    </w:p>
    <w:p w14:paraId="43FDE4CE" w14:textId="77777777" w:rsidR="000B36A1" w:rsidRDefault="000B36A1" w:rsidP="008B5E3C">
      <w:pPr>
        <w:jc w:val="center"/>
      </w:pPr>
      <w:r w:rsidRPr="00A961B5">
        <w:t>QDN calls upon candidates to adopt the recommendations in this platform, to lead with vision, to listen and act together and, if successful, to begin the job of implementing them immediately after the election.</w:t>
      </w:r>
    </w:p>
    <w:p w14:paraId="7E3F84BB" w14:textId="77777777" w:rsidR="000B36A1" w:rsidRDefault="000B36A1" w:rsidP="008B5E3C">
      <w:pPr>
        <w:jc w:val="both"/>
      </w:pPr>
      <w:r>
        <w:t>___________________________________________________________________</w:t>
      </w:r>
    </w:p>
    <w:p w14:paraId="65D3E83A" w14:textId="77777777" w:rsidR="000B36A1" w:rsidRDefault="000B36A1" w:rsidP="008B5E3C">
      <w:pPr>
        <w:jc w:val="both"/>
      </w:pPr>
    </w:p>
    <w:p w14:paraId="0D80E14D" w14:textId="77777777" w:rsidR="000B36A1" w:rsidRDefault="000B36A1" w:rsidP="008B5E3C">
      <w:pPr>
        <w:pBdr>
          <w:top w:val="none" w:sz="0" w:space="0" w:color="auto"/>
          <w:left w:val="none" w:sz="0" w:space="0" w:color="auto"/>
          <w:bottom w:val="none" w:sz="0" w:space="0" w:color="auto"/>
          <w:right w:val="none" w:sz="0" w:space="0" w:color="auto"/>
          <w:between w:val="none" w:sz="0" w:space="0" w:color="auto"/>
        </w:pBdr>
      </w:pPr>
      <w:r>
        <w:br w:type="page"/>
      </w:r>
    </w:p>
    <w:p w14:paraId="244FED7D" w14:textId="77777777" w:rsidR="000B36A1" w:rsidRDefault="000B36A1" w:rsidP="000B36A1">
      <w:pPr>
        <w:pStyle w:val="Heading1"/>
      </w:pPr>
      <w:bookmarkStart w:id="4" w:name="_Toc6236082"/>
      <w:r>
        <w:lastRenderedPageBreak/>
        <w:t xml:space="preserve">QDN’s seven </w:t>
      </w:r>
      <w:r w:rsidRPr="00A961B5">
        <w:t>election platform priorit</w:t>
      </w:r>
      <w:r>
        <w:t>ies</w:t>
      </w:r>
      <w:bookmarkEnd w:id="4"/>
    </w:p>
    <w:p w14:paraId="295695D3" w14:textId="77777777" w:rsidR="000B36A1" w:rsidRDefault="000B36A1" w:rsidP="002A4F26">
      <w:pPr>
        <w:spacing w:before="0" w:line="240" w:lineRule="auto"/>
        <w:jc w:val="both"/>
      </w:pPr>
    </w:p>
    <w:p w14:paraId="79BE8914" w14:textId="77777777" w:rsidR="004A0C2D" w:rsidRPr="006B2C98" w:rsidRDefault="004A0C2D" w:rsidP="00400260">
      <w:pPr>
        <w:pStyle w:val="Heading2"/>
        <w:rPr>
          <w:b/>
          <w:color w:val="002060"/>
        </w:rPr>
      </w:pPr>
      <w:bookmarkStart w:id="5" w:name="_Toc5631135"/>
      <w:bookmarkStart w:id="6" w:name="_Toc5631178"/>
      <w:bookmarkStart w:id="7" w:name="_Toc5631295"/>
      <w:bookmarkStart w:id="8" w:name="_Toc5631760"/>
      <w:bookmarkStart w:id="9" w:name="_Toc5631131"/>
      <w:bookmarkStart w:id="10" w:name="_Toc5631177"/>
      <w:bookmarkStart w:id="11" w:name="_Toc5631294"/>
      <w:bookmarkStart w:id="12" w:name="_Toc5631759"/>
      <w:bookmarkStart w:id="13" w:name="_Toc6236083"/>
      <w:r w:rsidRPr="006B2C98">
        <w:rPr>
          <w:b/>
          <w:color w:val="002060"/>
        </w:rPr>
        <w:t>Priority 1</w:t>
      </w:r>
      <w:bookmarkStart w:id="14" w:name="_Toc5631136"/>
      <w:bookmarkEnd w:id="5"/>
      <w:bookmarkEnd w:id="6"/>
      <w:bookmarkEnd w:id="7"/>
      <w:bookmarkEnd w:id="8"/>
      <w:r w:rsidR="00400260" w:rsidRPr="006B2C98">
        <w:rPr>
          <w:b/>
          <w:color w:val="002060"/>
        </w:rPr>
        <w:t xml:space="preserve"> - </w:t>
      </w:r>
      <w:r w:rsidRPr="006B2C98">
        <w:rPr>
          <w:b/>
          <w:color w:val="002060"/>
        </w:rPr>
        <w:t>The National Disability Insurance Scheme</w:t>
      </w:r>
      <w:bookmarkEnd w:id="13"/>
      <w:r w:rsidRPr="006B2C98">
        <w:rPr>
          <w:b/>
          <w:color w:val="002060"/>
        </w:rPr>
        <w:t xml:space="preserve"> </w:t>
      </w:r>
      <w:bookmarkEnd w:id="14"/>
    </w:p>
    <w:p w14:paraId="1D9DC4C5" w14:textId="77777777" w:rsidR="004A0C2D" w:rsidRPr="006B3D05" w:rsidRDefault="004A0C2D" w:rsidP="004A0C2D">
      <w:pPr>
        <w:pStyle w:val="Heading3"/>
        <w:spacing w:before="0" w:line="240" w:lineRule="auto"/>
        <w:jc w:val="both"/>
        <w:rPr>
          <w:rFonts w:eastAsia="MS Mincho"/>
          <w:sz w:val="12"/>
          <w:szCs w:val="12"/>
          <w:lang w:val="en-AU" w:eastAsia="en-US"/>
        </w:rPr>
      </w:pPr>
    </w:p>
    <w:p w14:paraId="489280D3" w14:textId="77777777" w:rsidR="00206E57" w:rsidRDefault="00206E57" w:rsidP="00206E57">
      <w:pPr>
        <w:pStyle w:val="Heading3"/>
        <w:spacing w:before="0" w:line="240" w:lineRule="auto"/>
        <w:jc w:val="both"/>
        <w:rPr>
          <w:rFonts w:eastAsia="MS Mincho"/>
          <w:lang w:val="en-AU" w:eastAsia="en-US"/>
        </w:rPr>
      </w:pPr>
      <w:r>
        <w:rPr>
          <w:rFonts w:eastAsia="MS Mincho"/>
          <w:lang w:val="en-AU" w:eastAsia="en-US"/>
        </w:rPr>
        <w:t>Context</w:t>
      </w:r>
    </w:p>
    <w:p w14:paraId="3764EE87" w14:textId="77777777" w:rsidR="00887A0C" w:rsidRPr="00184483" w:rsidRDefault="00206E57" w:rsidP="00F16CFC">
      <w:pPr>
        <w:jc w:val="both"/>
        <w:rPr>
          <w:szCs w:val="24"/>
        </w:rPr>
      </w:pPr>
      <w:r w:rsidRPr="00206E57">
        <w:rPr>
          <w:szCs w:val="24"/>
        </w:rPr>
        <w:t xml:space="preserve">The National Disability Insurance Scheme (NDIS) is a critical investment in the supports and needs of people with disability to live their day to day life in their communities, based upon principles of choice and control. </w:t>
      </w:r>
      <w:r w:rsidRPr="00D97151">
        <w:rPr>
          <w:szCs w:val="24"/>
        </w:rPr>
        <w:t xml:space="preserve">NDIS participants </w:t>
      </w:r>
      <w:r w:rsidR="006658C7" w:rsidRPr="000312DB">
        <w:rPr>
          <w:szCs w:val="24"/>
        </w:rPr>
        <w:t xml:space="preserve">want </w:t>
      </w:r>
      <w:r w:rsidRPr="00D97151">
        <w:rPr>
          <w:szCs w:val="24"/>
        </w:rPr>
        <w:t xml:space="preserve">to </w:t>
      </w:r>
      <w:r w:rsidRPr="00184483">
        <w:rPr>
          <w:szCs w:val="24"/>
        </w:rPr>
        <w:t>access quality, affordable and integrated supports across mainstream, community and specialist services.</w:t>
      </w:r>
    </w:p>
    <w:p w14:paraId="361F7CA6" w14:textId="68C7809A" w:rsidR="00887A0C" w:rsidRDefault="00206E57" w:rsidP="00F16CFC">
      <w:pPr>
        <w:jc w:val="both"/>
        <w:rPr>
          <w:rFonts w:eastAsia="Times New Roman"/>
          <w:szCs w:val="24"/>
          <w:lang w:val="en-AU"/>
        </w:rPr>
      </w:pPr>
      <w:r w:rsidRPr="009167FF">
        <w:rPr>
          <w:rFonts w:eastAsia="Times New Roman"/>
          <w:szCs w:val="24"/>
          <w:lang w:val="en-AU"/>
        </w:rPr>
        <w:t xml:space="preserve">QDN supports the recently </w:t>
      </w:r>
      <w:r w:rsidR="00CF0E5D">
        <w:rPr>
          <w:rFonts w:eastAsia="Times New Roman"/>
          <w:szCs w:val="24"/>
          <w:lang w:val="en-AU"/>
        </w:rPr>
        <w:t xml:space="preserve">released </w:t>
      </w:r>
      <w:r w:rsidRPr="009167FF">
        <w:rPr>
          <w:rFonts w:eastAsia="Times New Roman"/>
          <w:i/>
          <w:iCs/>
          <w:color w:val="0563C1" w:themeColor="hyperlink"/>
          <w:szCs w:val="24"/>
          <w:u w:val="single"/>
          <w:lang w:val="en-AU"/>
        </w:rPr>
        <w:t>Joint Standing</w:t>
      </w:r>
      <w:r w:rsidR="006658C7">
        <w:rPr>
          <w:rFonts w:eastAsia="Times New Roman"/>
          <w:i/>
          <w:iCs/>
          <w:color w:val="0563C1" w:themeColor="hyperlink"/>
          <w:szCs w:val="24"/>
          <w:u w:val="single"/>
          <w:lang w:val="en-AU"/>
        </w:rPr>
        <w:t xml:space="preserve"> Committee</w:t>
      </w:r>
      <w:r w:rsidRPr="009167FF">
        <w:rPr>
          <w:rFonts w:eastAsia="Times New Roman"/>
          <w:i/>
          <w:iCs/>
          <w:color w:val="0563C1" w:themeColor="hyperlink"/>
          <w:szCs w:val="24"/>
          <w:u w:val="single"/>
          <w:lang w:val="en-AU"/>
        </w:rPr>
        <w:t xml:space="preserve"> </w:t>
      </w:r>
      <w:r w:rsidR="00CF0E5D">
        <w:rPr>
          <w:rFonts w:eastAsia="Times New Roman"/>
          <w:i/>
          <w:iCs/>
          <w:color w:val="0563C1" w:themeColor="hyperlink"/>
          <w:szCs w:val="24"/>
          <w:u w:val="single"/>
          <w:lang w:val="en-AU"/>
        </w:rPr>
        <w:t xml:space="preserve">report </w:t>
      </w:r>
      <w:r w:rsidRPr="009167FF">
        <w:rPr>
          <w:rFonts w:eastAsia="Times New Roman"/>
          <w:i/>
          <w:iCs/>
          <w:color w:val="0563C1" w:themeColor="hyperlink"/>
          <w:szCs w:val="24"/>
          <w:u w:val="single"/>
          <w:lang w:val="en-AU"/>
        </w:rPr>
        <w:t>on the National Disability Insurance Scheme</w:t>
      </w:r>
      <w:r w:rsidR="009C7CB1">
        <w:rPr>
          <w:rFonts w:eastAsia="Times New Roman"/>
          <w:i/>
          <w:iCs/>
          <w:color w:val="0563C1" w:themeColor="hyperlink"/>
          <w:szCs w:val="24"/>
          <w:u w:val="single"/>
          <w:lang w:val="en-AU"/>
        </w:rPr>
        <w:t>’</w:t>
      </w:r>
      <w:r w:rsidR="00CF0E5D">
        <w:rPr>
          <w:rFonts w:eastAsia="Times New Roman"/>
          <w:i/>
          <w:iCs/>
          <w:color w:val="0563C1" w:themeColor="hyperlink"/>
          <w:szCs w:val="24"/>
          <w:u w:val="single"/>
          <w:lang w:val="en-AU"/>
        </w:rPr>
        <w:t>s</w:t>
      </w:r>
      <w:r w:rsidRPr="009167FF">
        <w:rPr>
          <w:rFonts w:eastAsia="Times New Roman"/>
          <w:i/>
          <w:iCs/>
          <w:color w:val="0563C1" w:themeColor="hyperlink"/>
          <w:szCs w:val="24"/>
          <w:u w:val="single"/>
          <w:lang w:val="en-AU"/>
        </w:rPr>
        <w:t xml:space="preserve"> Progress</w:t>
      </w:r>
      <w:r w:rsidR="00CF0E5D">
        <w:rPr>
          <w:rFonts w:eastAsia="Times New Roman"/>
          <w:i/>
          <w:iCs/>
          <w:color w:val="0563C1" w:themeColor="hyperlink"/>
          <w:szCs w:val="24"/>
          <w:u w:val="single"/>
          <w:lang w:val="en-AU"/>
        </w:rPr>
        <w:t>.</w:t>
      </w:r>
      <w:r w:rsidRPr="009167FF">
        <w:rPr>
          <w:rFonts w:eastAsia="Times New Roman"/>
          <w:i/>
          <w:iCs/>
          <w:color w:val="0563C1" w:themeColor="hyperlink"/>
          <w:szCs w:val="24"/>
          <w:u w:val="single"/>
          <w:lang w:val="en-AU"/>
        </w:rPr>
        <w:t xml:space="preserve"> </w:t>
      </w:r>
      <w:r w:rsidRPr="009167FF">
        <w:rPr>
          <w:rFonts w:eastAsia="Times New Roman"/>
          <w:i/>
          <w:iCs/>
          <w:szCs w:val="24"/>
          <w:lang w:val="en-AU"/>
        </w:rPr>
        <w:t xml:space="preserve"> </w:t>
      </w:r>
      <w:r w:rsidR="00CF0E5D">
        <w:rPr>
          <w:rFonts w:eastAsia="Times New Roman"/>
          <w:iCs/>
          <w:szCs w:val="24"/>
          <w:lang w:val="en-AU"/>
        </w:rPr>
        <w:t>The report covers i</w:t>
      </w:r>
      <w:r w:rsidRPr="009167FF">
        <w:rPr>
          <w:rFonts w:eastAsia="Times New Roman"/>
          <w:iCs/>
          <w:szCs w:val="24"/>
          <w:lang w:val="en-AU"/>
        </w:rPr>
        <w:t xml:space="preserve">ssues </w:t>
      </w:r>
      <w:r w:rsidR="006658C7">
        <w:rPr>
          <w:rFonts w:eastAsia="Times New Roman"/>
          <w:iCs/>
          <w:szCs w:val="24"/>
          <w:lang w:val="en-AU"/>
        </w:rPr>
        <w:t xml:space="preserve">impacting </w:t>
      </w:r>
      <w:r w:rsidRPr="009167FF">
        <w:rPr>
          <w:rFonts w:eastAsia="Times New Roman"/>
          <w:iCs/>
          <w:szCs w:val="24"/>
          <w:lang w:val="en-AU"/>
        </w:rPr>
        <w:t>on the implementation and performance of the NDIS</w:t>
      </w:r>
      <w:r w:rsidR="00A076F1">
        <w:rPr>
          <w:rFonts w:eastAsia="Times New Roman"/>
          <w:iCs/>
          <w:szCs w:val="24"/>
          <w:lang w:val="en-AU"/>
        </w:rPr>
        <w:t xml:space="preserve"> </w:t>
      </w:r>
      <w:r w:rsidRPr="00206E57">
        <w:rPr>
          <w:rFonts w:eastAsia="Times New Roman"/>
          <w:szCs w:val="24"/>
          <w:lang w:val="en-AU"/>
        </w:rPr>
        <w:t xml:space="preserve">and </w:t>
      </w:r>
      <w:r w:rsidR="00CF0E5D">
        <w:rPr>
          <w:rFonts w:eastAsia="Times New Roman"/>
          <w:szCs w:val="24"/>
          <w:lang w:val="en-AU"/>
        </w:rPr>
        <w:t xml:space="preserve">includes </w:t>
      </w:r>
      <w:hyperlink r:id="rId18" w:history="1">
        <w:r w:rsidRPr="00640784">
          <w:rPr>
            <w:rStyle w:val="Hyperlink"/>
            <w:rFonts w:eastAsia="Times New Roman"/>
            <w:szCs w:val="24"/>
            <w:lang w:val="en-AU"/>
          </w:rPr>
          <w:t xml:space="preserve">18 Progress </w:t>
        </w:r>
        <w:r w:rsidR="00887A0C" w:rsidRPr="00640784">
          <w:rPr>
            <w:rStyle w:val="Hyperlink"/>
            <w:rFonts w:eastAsia="Times New Roman"/>
            <w:szCs w:val="24"/>
            <w:lang w:val="en-AU"/>
          </w:rPr>
          <w:t>Recommendations</w:t>
        </w:r>
      </w:hyperlink>
      <w:r w:rsidR="006658C7">
        <w:rPr>
          <w:rStyle w:val="Hyperlink"/>
          <w:rFonts w:eastAsia="Times New Roman"/>
          <w:szCs w:val="24"/>
          <w:lang w:val="en-AU"/>
        </w:rPr>
        <w:t>.</w:t>
      </w:r>
      <w:r w:rsidR="00640784">
        <w:rPr>
          <w:rStyle w:val="Hyperlink"/>
          <w:rFonts w:eastAsia="Times New Roman"/>
          <w:color w:val="auto"/>
          <w:szCs w:val="24"/>
          <w:u w:val="none"/>
          <w:lang w:val="en-AU"/>
        </w:rPr>
        <w:t xml:space="preserve">  I</w:t>
      </w:r>
      <w:r w:rsidR="006658C7" w:rsidRPr="00640784">
        <w:rPr>
          <w:rStyle w:val="Hyperlink"/>
          <w:rFonts w:eastAsia="Times New Roman"/>
          <w:color w:val="auto"/>
          <w:szCs w:val="24"/>
          <w:u w:val="none"/>
          <w:lang w:val="en-AU"/>
        </w:rPr>
        <w:t xml:space="preserve">mplementation of these are key to </w:t>
      </w:r>
      <w:r w:rsidR="008A4A8E" w:rsidRPr="00640784">
        <w:rPr>
          <w:rStyle w:val="Hyperlink"/>
          <w:rFonts w:eastAsia="Times New Roman"/>
          <w:color w:val="auto"/>
          <w:szCs w:val="24"/>
          <w:u w:val="none"/>
          <w:lang w:val="en-AU"/>
        </w:rPr>
        <w:t>improving</w:t>
      </w:r>
      <w:r w:rsidR="008A4A8E" w:rsidRPr="00206E57">
        <w:rPr>
          <w:rFonts w:eastAsia="Times New Roman"/>
          <w:szCs w:val="24"/>
          <w:lang w:val="en-AU"/>
        </w:rPr>
        <w:t xml:space="preserve"> the</w:t>
      </w:r>
      <w:r w:rsidRPr="00206E57">
        <w:rPr>
          <w:rFonts w:eastAsia="Times New Roman"/>
          <w:szCs w:val="24"/>
          <w:lang w:val="en-AU"/>
        </w:rPr>
        <w:t xml:space="preserve"> NDIS going forward</w:t>
      </w:r>
      <w:r w:rsidR="00B6794D">
        <w:rPr>
          <w:rFonts w:eastAsia="Times New Roman"/>
          <w:szCs w:val="24"/>
          <w:lang w:val="en-AU"/>
        </w:rPr>
        <w:t>,</w:t>
      </w:r>
      <w:r w:rsidR="007F481B">
        <w:rPr>
          <w:rFonts w:eastAsia="Times New Roman"/>
          <w:szCs w:val="24"/>
          <w:lang w:val="en-AU"/>
        </w:rPr>
        <w:t xml:space="preserve"> and giving participants </w:t>
      </w:r>
      <w:r w:rsidR="00867AF1">
        <w:rPr>
          <w:rFonts w:eastAsia="Times New Roman"/>
          <w:szCs w:val="24"/>
          <w:lang w:val="en-AU"/>
        </w:rPr>
        <w:t>certainty of supports</w:t>
      </w:r>
      <w:r w:rsidRPr="00206E57">
        <w:rPr>
          <w:rFonts w:eastAsia="Times New Roman"/>
          <w:szCs w:val="24"/>
          <w:lang w:val="en-AU"/>
        </w:rPr>
        <w:t xml:space="preserve">. </w:t>
      </w:r>
    </w:p>
    <w:p w14:paraId="70FDAA58" w14:textId="0912804C" w:rsidR="00F40E66" w:rsidRPr="00F40E66" w:rsidRDefault="00F40E66" w:rsidP="00F16CFC">
      <w:pPr>
        <w:jc w:val="both"/>
      </w:pPr>
      <w:r w:rsidRPr="00F40E66">
        <w:t xml:space="preserve">QDN has been working alongside people with disability and families over the past 5 years to ensure those eligible for the NDIS have the correct information and ‘hands-on’ support to make access. Many Queenslanders with disability who are eligible for the scheme need additional support, funding to cover assessment costs and </w:t>
      </w:r>
      <w:r w:rsidR="00B6794D" w:rsidRPr="00F40E66">
        <w:t xml:space="preserve">advocacy </w:t>
      </w:r>
      <w:r w:rsidRPr="00F40E66">
        <w:t xml:space="preserve">to get the paperwork and evidence together in a </w:t>
      </w:r>
      <w:r w:rsidR="00CD43A2">
        <w:t xml:space="preserve">streamlined </w:t>
      </w:r>
      <w:r w:rsidRPr="00F40E66">
        <w:t>way that meets N</w:t>
      </w:r>
      <w:r w:rsidR="009C7CB1">
        <w:t xml:space="preserve">ational </w:t>
      </w:r>
      <w:r w:rsidRPr="00F40E66">
        <w:t>D</w:t>
      </w:r>
      <w:r w:rsidR="009C7CB1">
        <w:t xml:space="preserve">isability </w:t>
      </w:r>
      <w:r w:rsidRPr="00F40E66">
        <w:t>I</w:t>
      </w:r>
      <w:r w:rsidR="009C7CB1">
        <w:t xml:space="preserve">nsurance </w:t>
      </w:r>
      <w:r w:rsidRPr="00F40E66">
        <w:t>A</w:t>
      </w:r>
      <w:r w:rsidR="009C7CB1">
        <w:t>gency (NDIA)</w:t>
      </w:r>
      <w:r w:rsidRPr="00F40E66">
        <w:t xml:space="preserve"> requirements</w:t>
      </w:r>
      <w:r w:rsidR="00CD43A2">
        <w:t>.</w:t>
      </w:r>
      <w:r>
        <w:t xml:space="preserve"> </w:t>
      </w:r>
    </w:p>
    <w:p w14:paraId="4E7CDB18" w14:textId="77777777" w:rsidR="00C420FF" w:rsidRDefault="00C420FF" w:rsidP="00F16CFC">
      <w:pPr>
        <w:jc w:val="both"/>
      </w:pPr>
      <w:r>
        <w:t xml:space="preserve">Additionally, </w:t>
      </w:r>
      <w:r w:rsidR="007F481B" w:rsidRPr="007F481B">
        <w:t xml:space="preserve">QDN and our allies have </w:t>
      </w:r>
      <w:r w:rsidR="00657C15">
        <w:t>successfully de</w:t>
      </w:r>
      <w:r w:rsidR="007F481B" w:rsidRPr="007F481B">
        <w:t xml:space="preserve">livered </w:t>
      </w:r>
      <w:r w:rsidR="00657C15">
        <w:t xml:space="preserve">innovative </w:t>
      </w:r>
      <w:r w:rsidR="001931DD">
        <w:t xml:space="preserve">‘hands-on’ </w:t>
      </w:r>
      <w:r w:rsidR="007F481B" w:rsidRPr="007F481B">
        <w:t xml:space="preserve">projects </w:t>
      </w:r>
      <w:r w:rsidR="00657C15">
        <w:t xml:space="preserve">to </w:t>
      </w:r>
      <w:r w:rsidRPr="007F481B">
        <w:t xml:space="preserve">marginalised and vulnerable </w:t>
      </w:r>
      <w:r w:rsidR="007F481B" w:rsidRPr="007F481B">
        <w:t xml:space="preserve">people </w:t>
      </w:r>
      <w:r>
        <w:t xml:space="preserve">with disability, </w:t>
      </w:r>
      <w:r w:rsidR="007F481B">
        <w:t>support</w:t>
      </w:r>
      <w:r w:rsidR="00657C15">
        <w:t xml:space="preserve">ing </w:t>
      </w:r>
      <w:r w:rsidR="001931DD">
        <w:t xml:space="preserve">them to </w:t>
      </w:r>
      <w:r w:rsidR="007F481B">
        <w:t>access the scheme</w:t>
      </w:r>
      <w:r w:rsidR="00657C15">
        <w:t xml:space="preserve"> and get a</w:t>
      </w:r>
      <w:r w:rsidR="00CF0E5D">
        <w:t>n</w:t>
      </w:r>
      <w:r w:rsidR="00657C15">
        <w:t xml:space="preserve"> </w:t>
      </w:r>
      <w:r w:rsidR="001931DD">
        <w:t xml:space="preserve">NDIS </w:t>
      </w:r>
      <w:r w:rsidR="00657C15">
        <w:t>plan</w:t>
      </w:r>
      <w:r w:rsidR="007F481B">
        <w:t>.</w:t>
      </w:r>
      <w:r w:rsidR="007F481B" w:rsidRPr="007F481B">
        <w:t xml:space="preserve"> </w:t>
      </w:r>
      <w:r w:rsidR="001931DD">
        <w:t>T</w:t>
      </w:r>
      <w:r w:rsidR="001931DD" w:rsidRPr="007F481B">
        <w:t>rust, connections and relationships are crucial to getting buy-in and good outcomes</w:t>
      </w:r>
      <w:r w:rsidR="001931DD">
        <w:t xml:space="preserve"> for this group. </w:t>
      </w:r>
    </w:p>
    <w:p w14:paraId="26EDFB91" w14:textId="77777777" w:rsidR="007F481B" w:rsidRDefault="001931DD" w:rsidP="00F16CFC">
      <w:pPr>
        <w:jc w:val="both"/>
      </w:pPr>
      <w:r>
        <w:t xml:space="preserve">There </w:t>
      </w:r>
      <w:r w:rsidR="007F481B" w:rsidRPr="007F481B">
        <w:t xml:space="preserve">needs to be continued investment </w:t>
      </w:r>
      <w:r w:rsidR="008A4A8E">
        <w:t xml:space="preserve">by Government </w:t>
      </w:r>
      <w:r w:rsidR="007F481B" w:rsidRPr="007F481B">
        <w:t xml:space="preserve">in </w:t>
      </w:r>
      <w:r>
        <w:t xml:space="preserve">organisations with </w:t>
      </w:r>
      <w:r w:rsidR="00C420FF">
        <w:t xml:space="preserve">such expertise and established </w:t>
      </w:r>
      <w:r>
        <w:t>relationships</w:t>
      </w:r>
      <w:r w:rsidR="00C420FF">
        <w:t>,</w:t>
      </w:r>
      <w:r>
        <w:t xml:space="preserve"> to continue to undertake this work </w:t>
      </w:r>
      <w:r w:rsidR="00657C15">
        <w:t xml:space="preserve">if Queensland is to increase the number of new participants coming into the scheme. </w:t>
      </w:r>
    </w:p>
    <w:p w14:paraId="12D8A6F8" w14:textId="77777777" w:rsidR="005F2CE6" w:rsidRDefault="005F2CE6" w:rsidP="00F16CFC">
      <w:pPr>
        <w:jc w:val="both"/>
      </w:pPr>
      <w:r w:rsidRPr="005F2CE6">
        <w:t xml:space="preserve">QDN </w:t>
      </w:r>
      <w:r>
        <w:t xml:space="preserve">members are experiencing </w:t>
      </w:r>
      <w:r w:rsidR="003C7D33">
        <w:t xml:space="preserve">blockages and </w:t>
      </w:r>
      <w:r>
        <w:t xml:space="preserve">continued </w:t>
      </w:r>
      <w:r w:rsidRPr="00F16CFC">
        <w:t xml:space="preserve">challenges with </w:t>
      </w:r>
      <w:r w:rsidR="00B6794D">
        <w:t xml:space="preserve">securing, </w:t>
      </w:r>
      <w:r w:rsidRPr="00F16CFC">
        <w:t xml:space="preserve">activating and implementing their </w:t>
      </w:r>
      <w:r w:rsidR="00B6794D">
        <w:t xml:space="preserve">NDIS </w:t>
      </w:r>
      <w:r w:rsidRPr="00F16CFC">
        <w:t>plan</w:t>
      </w:r>
      <w:r w:rsidRPr="00CD43A2">
        <w:t>s</w:t>
      </w:r>
      <w:r w:rsidR="009014DB" w:rsidRPr="00CD43A2">
        <w:t>.</w:t>
      </w:r>
      <w:r w:rsidR="003C7D33" w:rsidRPr="00CD43A2">
        <w:t xml:space="preserve"> </w:t>
      </w:r>
      <w:r w:rsidR="00347769" w:rsidRPr="00CD43A2">
        <w:t xml:space="preserve">People report </w:t>
      </w:r>
      <w:r w:rsidR="00B6794D">
        <w:t xml:space="preserve">frustrations in getting sufficient funding to cover the supports they require, including transport and supports coordination. Members also report </w:t>
      </w:r>
      <w:r w:rsidR="00347769" w:rsidRPr="00CD43A2">
        <w:t>significant time</w:t>
      </w:r>
      <w:r w:rsidR="00347769">
        <w:t xml:space="preserve"> delays in getting </w:t>
      </w:r>
      <w:r w:rsidR="00B6794D">
        <w:t xml:space="preserve">plans </w:t>
      </w:r>
      <w:r w:rsidR="00347769">
        <w:t xml:space="preserve">approved and progressed, especially </w:t>
      </w:r>
      <w:r w:rsidR="00CD43A2">
        <w:t xml:space="preserve">in relation to </w:t>
      </w:r>
      <w:r w:rsidR="00347769">
        <w:t>assistive technology</w:t>
      </w:r>
      <w:r w:rsidR="00B6794D">
        <w:t xml:space="preserve"> and </w:t>
      </w:r>
      <w:r w:rsidR="008A4A8E">
        <w:t>home</w:t>
      </w:r>
      <w:r w:rsidR="00347769">
        <w:t xml:space="preserve"> modifications. </w:t>
      </w:r>
    </w:p>
    <w:p w14:paraId="1C8A41E7" w14:textId="77777777" w:rsidR="00C77E51" w:rsidRDefault="000E2E59" w:rsidP="00F16CFC">
      <w:pPr>
        <w:jc w:val="both"/>
      </w:pPr>
      <w:r w:rsidRPr="000E2E59">
        <w:t xml:space="preserve">The role and importance of peer support, self-advocacy, independent </w:t>
      </w:r>
      <w:r w:rsidR="00F40E66">
        <w:t xml:space="preserve">individual </w:t>
      </w:r>
      <w:r w:rsidRPr="000E2E59">
        <w:t>and systems advocacy is critical in this space.</w:t>
      </w:r>
      <w:r w:rsidR="00C77E51">
        <w:t xml:space="preserve">  </w:t>
      </w:r>
    </w:p>
    <w:p w14:paraId="7F0EEB2B" w14:textId="77777777" w:rsidR="00F40E66" w:rsidRDefault="000E2E59" w:rsidP="00F16CFC">
      <w:pPr>
        <w:jc w:val="both"/>
      </w:pPr>
      <w:r w:rsidRPr="000E2E59">
        <w:t xml:space="preserve">QDN sees a need to build the market </w:t>
      </w:r>
      <w:r w:rsidR="00867AF1">
        <w:t xml:space="preserve">and revise </w:t>
      </w:r>
      <w:r w:rsidR="00017103">
        <w:t xml:space="preserve">items in </w:t>
      </w:r>
      <w:r w:rsidR="00867AF1">
        <w:t xml:space="preserve">the NDIA Price Guide, </w:t>
      </w:r>
      <w:r w:rsidRPr="000E2E59">
        <w:t xml:space="preserve">so that people have </w:t>
      </w:r>
      <w:r w:rsidR="00867AF1">
        <w:t xml:space="preserve">real </w:t>
      </w:r>
      <w:r w:rsidRPr="000E2E59">
        <w:t>choice and control with</w:t>
      </w:r>
      <w:r w:rsidR="00C77E51">
        <w:t xml:space="preserve"> </w:t>
      </w:r>
      <w:r w:rsidRPr="000E2E59">
        <w:t>their services</w:t>
      </w:r>
      <w:r w:rsidR="009014DB">
        <w:t xml:space="preserve">, </w:t>
      </w:r>
      <w:r w:rsidRPr="000E2E59">
        <w:t xml:space="preserve">especially in the rural and remote parts of the state. </w:t>
      </w:r>
      <w:r w:rsidR="00C77E51">
        <w:t>St</w:t>
      </w:r>
      <w:r w:rsidRPr="000E2E59">
        <w:t xml:space="preserve">rategies and investment </w:t>
      </w:r>
      <w:r w:rsidR="00F40E66">
        <w:t xml:space="preserve">need to </w:t>
      </w:r>
      <w:r w:rsidRPr="000E2E59">
        <w:t>be in place to build people’s capacity to self-manage</w:t>
      </w:r>
      <w:r w:rsidR="009014DB">
        <w:t xml:space="preserve"> and </w:t>
      </w:r>
      <w:r w:rsidRPr="000E2E59">
        <w:t>to build options where providers are thin on the ground</w:t>
      </w:r>
      <w:r w:rsidR="005F2CE6">
        <w:t>.</w:t>
      </w:r>
      <w:r w:rsidRPr="000E2E59">
        <w:t xml:space="preserve"> </w:t>
      </w:r>
    </w:p>
    <w:p w14:paraId="7A60CFEC" w14:textId="42ED568A" w:rsidR="00017103" w:rsidRPr="0077732B" w:rsidRDefault="00017103" w:rsidP="00F16CFC">
      <w:pPr>
        <w:jc w:val="both"/>
      </w:pPr>
      <w:r w:rsidRPr="0077732B">
        <w:lastRenderedPageBreak/>
        <w:t xml:space="preserve">QDN is </w:t>
      </w:r>
      <w:r w:rsidR="00CB39E1" w:rsidRPr="0077732B">
        <w:t xml:space="preserve">also </w:t>
      </w:r>
      <w:r w:rsidRPr="0077732B">
        <w:t xml:space="preserve">seeking urgent resolution to outstanding NDIS </w:t>
      </w:r>
      <w:r w:rsidR="00C420FF" w:rsidRPr="0077732B">
        <w:t xml:space="preserve">and mainstream </w:t>
      </w:r>
      <w:r w:rsidRPr="0077732B">
        <w:t xml:space="preserve">interface issues </w:t>
      </w:r>
      <w:r w:rsidR="00B6794D">
        <w:t>across a</w:t>
      </w:r>
      <w:r w:rsidRPr="0077732B">
        <w:t xml:space="preserve">reas </w:t>
      </w:r>
      <w:r w:rsidR="00A84CD8" w:rsidRPr="0077732B">
        <w:t xml:space="preserve">including </w:t>
      </w:r>
      <w:r w:rsidR="00F40E66">
        <w:t xml:space="preserve">housing, </w:t>
      </w:r>
      <w:r w:rsidRPr="0077732B">
        <w:t>health, mental health, the</w:t>
      </w:r>
      <w:r w:rsidR="00F40E66">
        <w:t xml:space="preserve"> Taxi Subsidy Scheme </w:t>
      </w:r>
      <w:r w:rsidR="00184483">
        <w:t xml:space="preserve">(TSS) </w:t>
      </w:r>
      <w:r w:rsidR="00F40E66">
        <w:t>and</w:t>
      </w:r>
      <w:r w:rsidR="00CB39E1" w:rsidRPr="0077732B">
        <w:t xml:space="preserve"> </w:t>
      </w:r>
      <w:r w:rsidR="00184483">
        <w:t>C</w:t>
      </w:r>
      <w:r w:rsidRPr="0077732B">
        <w:t xml:space="preserve">ommunity </w:t>
      </w:r>
      <w:r w:rsidR="00184483">
        <w:t>T</w:t>
      </w:r>
      <w:r w:rsidRPr="0077732B">
        <w:t>ransport</w:t>
      </w:r>
      <w:r w:rsidR="004D6612" w:rsidRPr="0077732B">
        <w:t>.</w:t>
      </w:r>
      <w:r w:rsidRPr="0077732B">
        <w:t xml:space="preserve"> </w:t>
      </w:r>
      <w:r w:rsidR="00C420FF" w:rsidRPr="0077732B">
        <w:t xml:space="preserve">These need </w:t>
      </w:r>
      <w:r w:rsidR="00907B30">
        <w:t xml:space="preserve">immediate </w:t>
      </w:r>
      <w:r w:rsidR="00C420FF" w:rsidRPr="0077732B">
        <w:t>resolution to enable people to have peace of mind and integrated disability services and support that meet their whole</w:t>
      </w:r>
      <w:r w:rsidR="009014DB" w:rsidRPr="0077732B">
        <w:t xml:space="preserve"> of</w:t>
      </w:r>
      <w:r w:rsidR="00C420FF" w:rsidRPr="0077732B">
        <w:t xml:space="preserve"> life needs. </w:t>
      </w:r>
      <w:r w:rsidRPr="0077732B">
        <w:t xml:space="preserve">QDN members </w:t>
      </w:r>
      <w:r w:rsidR="004D6612" w:rsidRPr="0077732B">
        <w:t>especially want</w:t>
      </w:r>
      <w:r w:rsidRPr="0077732B">
        <w:t xml:space="preserve"> resolution around the </w:t>
      </w:r>
      <w:r w:rsidR="00FD7AA5">
        <w:t>TSS</w:t>
      </w:r>
      <w:r w:rsidR="00FD7AA5" w:rsidRPr="0077732B">
        <w:t xml:space="preserve"> </w:t>
      </w:r>
      <w:r w:rsidRPr="0077732B">
        <w:t xml:space="preserve">, </w:t>
      </w:r>
      <w:r w:rsidR="00A84CD8" w:rsidRPr="0077732B">
        <w:t xml:space="preserve">community nursing, swallowing assessments, </w:t>
      </w:r>
      <w:r w:rsidRPr="0077732B">
        <w:t>wound</w:t>
      </w:r>
      <w:r w:rsidR="009014DB" w:rsidRPr="0077732B">
        <w:t xml:space="preserve"> and </w:t>
      </w:r>
      <w:r w:rsidRPr="0077732B">
        <w:t xml:space="preserve">catheter care and the </w:t>
      </w:r>
      <w:r w:rsidR="00184483">
        <w:t>M</w:t>
      </w:r>
      <w:r w:rsidRPr="0077732B">
        <w:t xml:space="preserve">edical </w:t>
      </w:r>
      <w:r w:rsidR="00184483">
        <w:t>A</w:t>
      </w:r>
      <w:r w:rsidRPr="0077732B">
        <w:t xml:space="preserve">ids </w:t>
      </w:r>
      <w:r w:rsidR="00184483">
        <w:t>S</w:t>
      </w:r>
      <w:r w:rsidRPr="0077732B">
        <w:t xml:space="preserve">ubsidy </w:t>
      </w:r>
      <w:r w:rsidR="00184483">
        <w:t>S</w:t>
      </w:r>
      <w:r w:rsidRPr="0077732B">
        <w:t>cheme.</w:t>
      </w:r>
    </w:p>
    <w:p w14:paraId="6F1581F3" w14:textId="63D04AE1" w:rsidR="00172360" w:rsidRPr="0077732B" w:rsidRDefault="00172360" w:rsidP="00F16CFC">
      <w:pPr>
        <w:jc w:val="both"/>
      </w:pPr>
      <w:r w:rsidRPr="0077732B">
        <w:t xml:space="preserve">Finally, the provider of last resort, now known as </w:t>
      </w:r>
      <w:r w:rsidR="00184483">
        <w:t>‘</w:t>
      </w:r>
      <w:r w:rsidRPr="0077732B">
        <w:t>Maintaining Critical Supports</w:t>
      </w:r>
      <w:r w:rsidR="00184483">
        <w:t>’</w:t>
      </w:r>
      <w:r w:rsidRPr="0077732B">
        <w:t>, continues to be an unresolved issue for people with disability so they can have certainty in circumstances of market failure and they will continue to receive the services and supports they need. This needs urgent resolution and clarification.</w:t>
      </w:r>
    </w:p>
    <w:p w14:paraId="272732CD" w14:textId="77777777" w:rsidR="00C77E51" w:rsidRPr="0077732B" w:rsidRDefault="00C77E51" w:rsidP="00C77E51">
      <w:pPr>
        <w:rPr>
          <w:sz w:val="10"/>
        </w:rPr>
      </w:pPr>
    </w:p>
    <w:p w14:paraId="25D4AF20" w14:textId="77777777" w:rsidR="00206E57" w:rsidRDefault="004A505B" w:rsidP="00887A0C">
      <w:pPr>
        <w:pStyle w:val="Heading3"/>
        <w:rPr>
          <w:rFonts w:eastAsia="MS Mincho"/>
          <w:lang w:val="en-AU" w:eastAsia="en-US"/>
        </w:rPr>
      </w:pPr>
      <w:r>
        <w:rPr>
          <w:rFonts w:eastAsia="MS Mincho"/>
          <w:lang w:val="en-AU" w:eastAsia="en-US"/>
        </w:rPr>
        <w:t>QDN calls for</w:t>
      </w:r>
      <w:r w:rsidR="00C420FF">
        <w:rPr>
          <w:rFonts w:eastAsia="MS Mincho"/>
          <w:lang w:val="en-AU" w:eastAsia="en-US"/>
        </w:rPr>
        <w:t xml:space="preserve"> candidates to commit to:</w:t>
      </w:r>
    </w:p>
    <w:p w14:paraId="6B4F317E" w14:textId="77777777" w:rsidR="00887A0C" w:rsidRPr="003C7D33" w:rsidRDefault="00887A0C" w:rsidP="00887A0C">
      <w:pPr>
        <w:pStyle w:val="ListParagraph"/>
        <w:numPr>
          <w:ilvl w:val="0"/>
          <w:numId w:val="14"/>
        </w:numPr>
        <w:spacing w:before="0" w:line="240" w:lineRule="auto"/>
        <w:jc w:val="both"/>
      </w:pPr>
      <w:r>
        <w:rPr>
          <w:rFonts w:eastAsia="Times New Roman"/>
          <w:szCs w:val="24"/>
          <w:lang w:val="en-AU"/>
        </w:rPr>
        <w:t>U</w:t>
      </w:r>
      <w:r w:rsidRPr="00206E57">
        <w:rPr>
          <w:rFonts w:eastAsia="Times New Roman"/>
          <w:szCs w:val="24"/>
          <w:lang w:val="en-AU"/>
        </w:rPr>
        <w:t xml:space="preserve">rgent </w:t>
      </w:r>
      <w:r w:rsidR="00C420FF">
        <w:rPr>
          <w:rFonts w:eastAsia="Times New Roman"/>
          <w:szCs w:val="24"/>
          <w:lang w:val="en-AU"/>
        </w:rPr>
        <w:t xml:space="preserve">implementation of </w:t>
      </w:r>
      <w:r w:rsidRPr="00206E57">
        <w:rPr>
          <w:rFonts w:eastAsia="Times New Roman"/>
          <w:szCs w:val="24"/>
          <w:lang w:val="en-AU"/>
        </w:rPr>
        <w:t xml:space="preserve"> the </w:t>
      </w:r>
      <w:hyperlink r:id="rId19" w:history="1">
        <w:r w:rsidRPr="00887A0C">
          <w:rPr>
            <w:rStyle w:val="Hyperlink"/>
            <w:rFonts w:eastAsia="Times New Roman"/>
            <w:szCs w:val="24"/>
            <w:lang w:val="en-AU"/>
          </w:rPr>
          <w:t xml:space="preserve">18 Progress </w:t>
        </w:r>
        <w:r>
          <w:rPr>
            <w:rStyle w:val="Hyperlink"/>
            <w:rFonts w:eastAsia="Times New Roman"/>
            <w:szCs w:val="24"/>
            <w:lang w:val="en-AU"/>
          </w:rPr>
          <w:t>Recommendations</w:t>
        </w:r>
      </w:hyperlink>
      <w:r w:rsidRPr="00206E57">
        <w:rPr>
          <w:rFonts w:eastAsia="Times New Roman"/>
          <w:szCs w:val="24"/>
          <w:lang w:val="en-AU"/>
        </w:rPr>
        <w:t xml:space="preserve"> </w:t>
      </w:r>
      <w:r>
        <w:rPr>
          <w:rFonts w:eastAsia="Times New Roman"/>
          <w:szCs w:val="24"/>
          <w:lang w:val="en-AU"/>
        </w:rPr>
        <w:t xml:space="preserve">in the </w:t>
      </w:r>
      <w:hyperlink r:id="rId20" w:history="1">
        <w:r w:rsidRPr="009167FF">
          <w:rPr>
            <w:rFonts w:eastAsia="Times New Roman"/>
            <w:i/>
            <w:iCs/>
            <w:color w:val="0563C1" w:themeColor="hyperlink"/>
            <w:szCs w:val="24"/>
            <w:u w:val="single"/>
            <w:lang w:val="en-AU"/>
          </w:rPr>
          <w:t>Joint Standing on the National Disability Insurance Scheme Progress Report</w:t>
        </w:r>
      </w:hyperlink>
    </w:p>
    <w:p w14:paraId="582AAAEE" w14:textId="77777777" w:rsidR="003C7D33" w:rsidRDefault="003C7D33" w:rsidP="003C7D33">
      <w:pPr>
        <w:pStyle w:val="ListParagraph"/>
        <w:spacing w:before="0" w:line="240" w:lineRule="auto"/>
        <w:ind w:left="360"/>
        <w:jc w:val="both"/>
      </w:pPr>
    </w:p>
    <w:p w14:paraId="77EC458C" w14:textId="383D3AC3" w:rsidR="00F22278" w:rsidRDefault="004A0C2D" w:rsidP="00F16CFC">
      <w:pPr>
        <w:pStyle w:val="NoSpacing"/>
        <w:numPr>
          <w:ilvl w:val="0"/>
          <w:numId w:val="14"/>
        </w:numPr>
        <w:jc w:val="both"/>
      </w:pPr>
      <w:r>
        <w:t>Return</w:t>
      </w:r>
      <w:r w:rsidR="00C420FF">
        <w:t>ing</w:t>
      </w:r>
      <w:r>
        <w:t xml:space="preserve"> the national </w:t>
      </w:r>
      <w:r w:rsidRPr="008F78A7">
        <w:t xml:space="preserve">underspend </w:t>
      </w:r>
      <w:r w:rsidR="00C420FF">
        <w:t xml:space="preserve">into </w:t>
      </w:r>
      <w:r w:rsidRPr="008F78A7">
        <w:t xml:space="preserve">the NDIS </w:t>
      </w:r>
      <w:r>
        <w:t>and re-invest</w:t>
      </w:r>
      <w:r w:rsidR="004D6612">
        <w:t>ing</w:t>
      </w:r>
      <w:r w:rsidR="00543F0B">
        <w:t xml:space="preserve"> </w:t>
      </w:r>
      <w:r w:rsidR="00C420FF">
        <w:t>this funding</w:t>
      </w:r>
      <w:r w:rsidR="000E2E59">
        <w:t xml:space="preserve"> </w:t>
      </w:r>
      <w:r w:rsidR="00543F0B">
        <w:t xml:space="preserve">into fixing the NDIS, including funding a range of approaches that deliver </w:t>
      </w:r>
      <w:r w:rsidR="000E2E59">
        <w:t xml:space="preserve">people </w:t>
      </w:r>
      <w:r>
        <w:t xml:space="preserve">‘hands-on’ support </w:t>
      </w:r>
      <w:r w:rsidRPr="008F78A7">
        <w:t xml:space="preserve">to </w:t>
      </w:r>
      <w:r w:rsidR="000E2E59">
        <w:t>implement and manage their plans</w:t>
      </w:r>
      <w:r w:rsidR="00DF0629">
        <w:t>;</w:t>
      </w:r>
    </w:p>
    <w:p w14:paraId="200424E8" w14:textId="77777777" w:rsidR="00184483" w:rsidRDefault="00184483" w:rsidP="00184483">
      <w:pPr>
        <w:pStyle w:val="NoSpacing"/>
        <w:jc w:val="both"/>
      </w:pPr>
    </w:p>
    <w:p w14:paraId="3E350AF0" w14:textId="77777777" w:rsidR="000E2E59" w:rsidRDefault="004A0C2D" w:rsidP="000E2E59">
      <w:pPr>
        <w:pStyle w:val="NoSpacing"/>
        <w:numPr>
          <w:ilvl w:val="0"/>
          <w:numId w:val="15"/>
        </w:numPr>
        <w:jc w:val="both"/>
      </w:pPr>
      <w:r w:rsidRPr="00CE3861">
        <w:t>Re-negotiat</w:t>
      </w:r>
      <w:r w:rsidR="00A84CD8">
        <w:t>ing</w:t>
      </w:r>
      <w:r w:rsidRPr="00CE3861">
        <w:t xml:space="preserve"> components of </w:t>
      </w:r>
      <w:r>
        <w:t xml:space="preserve">the </w:t>
      </w:r>
      <w:r w:rsidRPr="00CE3861">
        <w:t xml:space="preserve">bilateral arrangements with regards </w:t>
      </w:r>
      <w:r>
        <w:t xml:space="preserve">to </w:t>
      </w:r>
      <w:r w:rsidRPr="00CE3861">
        <w:t>Queensland’s investment in the ND</w:t>
      </w:r>
      <w:r>
        <w:t>IS</w:t>
      </w:r>
      <w:r w:rsidR="00F40E66">
        <w:t>, to ensure funding i</w:t>
      </w:r>
      <w:r w:rsidR="009E280D">
        <w:t>s</w:t>
      </w:r>
      <w:r w:rsidR="00F40E66">
        <w:t xml:space="preserve"> available</w:t>
      </w:r>
      <w:r>
        <w:t xml:space="preserve"> </w:t>
      </w:r>
      <w:r w:rsidR="00F22278">
        <w:t>for the following initiatives</w:t>
      </w:r>
      <w:r w:rsidR="000E2E59">
        <w:t>:</w:t>
      </w:r>
    </w:p>
    <w:p w14:paraId="13F1756D" w14:textId="77777777" w:rsidR="00543F0B" w:rsidRDefault="00543F0B" w:rsidP="000312DB">
      <w:pPr>
        <w:pStyle w:val="NoSpacing"/>
        <w:ind w:left="720"/>
        <w:jc w:val="both"/>
      </w:pPr>
      <w:r>
        <w:t>a.</w:t>
      </w:r>
      <w:r>
        <w:tab/>
        <w:t xml:space="preserve">Targeted strategies undertaken by non-government organisations to </w:t>
      </w:r>
      <w:r w:rsidR="004D6612">
        <w:tab/>
      </w:r>
      <w:r w:rsidR="00F22278">
        <w:t xml:space="preserve">deliver specialist </w:t>
      </w:r>
      <w:r>
        <w:t xml:space="preserve">engagement with new participants, especially  </w:t>
      </w:r>
      <w:r w:rsidR="004D6612">
        <w:tab/>
      </w:r>
      <w:r>
        <w:t xml:space="preserve">marginalised and vulnerable people with disability, to assist their access </w:t>
      </w:r>
      <w:r w:rsidR="004D6612">
        <w:tab/>
      </w:r>
      <w:r>
        <w:t>to</w:t>
      </w:r>
      <w:r w:rsidR="00F22278">
        <w:t xml:space="preserve">, and participation in the </w:t>
      </w:r>
      <w:r>
        <w:t xml:space="preserve">scheme; and </w:t>
      </w:r>
    </w:p>
    <w:p w14:paraId="3132A114" w14:textId="40BD8C02" w:rsidR="004D6612" w:rsidRDefault="00085FE8" w:rsidP="00F22278">
      <w:pPr>
        <w:pStyle w:val="NoSpacing"/>
        <w:ind w:left="1440" w:hanging="720"/>
        <w:jc w:val="both"/>
      </w:pPr>
      <w:r>
        <w:t>b.</w:t>
      </w:r>
      <w:r>
        <w:tab/>
      </w:r>
      <w:r w:rsidR="00543F0B">
        <w:t xml:space="preserve">Access to ‘hands on practical support’ </w:t>
      </w:r>
      <w:r w:rsidR="00184483">
        <w:t>for</w:t>
      </w:r>
      <w:r w:rsidR="00F22278">
        <w:t xml:space="preserve"> people with disability and their families; delivered through non-government organisations, </w:t>
      </w:r>
      <w:r w:rsidR="00543F0B">
        <w:t xml:space="preserve">once </w:t>
      </w:r>
      <w:r w:rsidR="00F22278">
        <w:t xml:space="preserve">people </w:t>
      </w:r>
      <w:r w:rsidR="00543F0B">
        <w:t>are in the scheme</w:t>
      </w:r>
      <w:r w:rsidR="00F22278">
        <w:t xml:space="preserve">. This will facilitate timely </w:t>
      </w:r>
      <w:r w:rsidR="00543F0B">
        <w:t>activati</w:t>
      </w:r>
      <w:r w:rsidR="00F22278">
        <w:t xml:space="preserve">on and implementation of plans. Alternatively, </w:t>
      </w:r>
      <w:r w:rsidR="00543F0B">
        <w:t>fund</w:t>
      </w:r>
      <w:r w:rsidR="004D6612">
        <w:t>ing</w:t>
      </w:r>
      <w:r w:rsidR="00543F0B">
        <w:t xml:space="preserve"> supports coordination and ensur</w:t>
      </w:r>
      <w:r w:rsidR="009E280D">
        <w:t xml:space="preserve">ing </w:t>
      </w:r>
      <w:r w:rsidR="00543F0B">
        <w:t>it focuses on capacity building and skill development</w:t>
      </w:r>
      <w:r w:rsidR="00A84CD8">
        <w:t>.</w:t>
      </w:r>
    </w:p>
    <w:p w14:paraId="7E5A44DE" w14:textId="77777777" w:rsidR="00F22278" w:rsidRDefault="00F22278" w:rsidP="00F22278">
      <w:pPr>
        <w:pStyle w:val="NoSpacing"/>
        <w:ind w:left="1440" w:hanging="720"/>
        <w:jc w:val="both"/>
      </w:pPr>
    </w:p>
    <w:p w14:paraId="6810F939" w14:textId="080EFF0C" w:rsidR="00543F0B" w:rsidRDefault="00A84CD8" w:rsidP="00F22278">
      <w:pPr>
        <w:pStyle w:val="NoSpacing"/>
        <w:numPr>
          <w:ilvl w:val="0"/>
          <w:numId w:val="15"/>
        </w:numPr>
        <w:jc w:val="both"/>
      </w:pPr>
      <w:r>
        <w:t xml:space="preserve">Urgent resolution of NDIS/mainstream issues </w:t>
      </w:r>
      <w:r w:rsidR="00085FE8" w:rsidRPr="00085FE8">
        <w:t xml:space="preserve">in the </w:t>
      </w:r>
      <w:r>
        <w:t xml:space="preserve">areas of </w:t>
      </w:r>
      <w:r w:rsidR="003C7D33">
        <w:t xml:space="preserve">housing, </w:t>
      </w:r>
      <w:r w:rsidR="00085FE8" w:rsidRPr="00085FE8">
        <w:t xml:space="preserve">health, mental health, </w:t>
      </w:r>
      <w:r>
        <w:t xml:space="preserve">the </w:t>
      </w:r>
      <w:r w:rsidR="00085FE8" w:rsidRPr="00085FE8">
        <w:t>T</w:t>
      </w:r>
      <w:r w:rsidR="00FD7AA5">
        <w:t>SS</w:t>
      </w:r>
      <w:r w:rsidR="00FE6DAE">
        <w:t xml:space="preserve"> </w:t>
      </w:r>
      <w:r>
        <w:t xml:space="preserve">and </w:t>
      </w:r>
      <w:r w:rsidR="00085FE8" w:rsidRPr="00085FE8">
        <w:t>Community Transport</w:t>
      </w:r>
      <w:r w:rsidR="00DF0629">
        <w:t>;</w:t>
      </w:r>
      <w:r w:rsidR="004D6612" w:rsidRPr="00085FE8" w:rsidDel="004D6612">
        <w:t xml:space="preserve"> </w:t>
      </w:r>
    </w:p>
    <w:p w14:paraId="6E35F438" w14:textId="77777777" w:rsidR="003C7D33" w:rsidRDefault="003C7D33" w:rsidP="003C7D33">
      <w:pPr>
        <w:pStyle w:val="NoSpacing"/>
        <w:ind w:left="360"/>
        <w:jc w:val="both"/>
      </w:pPr>
    </w:p>
    <w:p w14:paraId="26E6F37E" w14:textId="77777777" w:rsidR="003C7D33" w:rsidRDefault="003C7D33" w:rsidP="000312DB">
      <w:pPr>
        <w:pStyle w:val="NoSpacing"/>
        <w:numPr>
          <w:ilvl w:val="0"/>
          <w:numId w:val="17"/>
        </w:numPr>
        <w:jc w:val="both"/>
      </w:pPr>
      <w:r>
        <w:t xml:space="preserve">Improved flexibility around plan duration, including options to extend </w:t>
      </w:r>
      <w:r w:rsidR="009167FF">
        <w:t xml:space="preserve">timeframes of plans to </w:t>
      </w:r>
      <w:r w:rsidR="004A0C2D" w:rsidRPr="00CE3861">
        <w:t xml:space="preserve">longer </w:t>
      </w:r>
      <w:r w:rsidR="004A0C2D">
        <w:t>than 12 month</w:t>
      </w:r>
      <w:r w:rsidR="009167FF">
        <w:t>s</w:t>
      </w:r>
      <w:r>
        <w:t>,</w:t>
      </w:r>
      <w:r w:rsidR="00172360">
        <w:t xml:space="preserve"> with review timeframes extended</w:t>
      </w:r>
      <w:r w:rsidR="00073D0B">
        <w:t>;</w:t>
      </w:r>
      <w:r w:rsidR="001862F3">
        <w:t xml:space="preserve"> i</w:t>
      </w:r>
      <w:r w:rsidR="00172360">
        <w:t>mplementing provider of last resort arrangements – Maintaining Critical Supports to ensure Queenslanders with disability with complex needs can access the support and services they need</w:t>
      </w:r>
      <w:r w:rsidR="00202833">
        <w:t>;</w:t>
      </w:r>
      <w:r w:rsidR="00DF0629">
        <w:t xml:space="preserve"> and </w:t>
      </w:r>
      <w:r w:rsidR="00172360">
        <w:t xml:space="preserve"> </w:t>
      </w:r>
    </w:p>
    <w:p w14:paraId="0517F907" w14:textId="77777777" w:rsidR="003C7D33" w:rsidRDefault="003C7D33" w:rsidP="003C7D33">
      <w:pPr>
        <w:pStyle w:val="NoSpacing"/>
        <w:ind w:left="360"/>
        <w:jc w:val="both"/>
      </w:pPr>
    </w:p>
    <w:p w14:paraId="03B92344" w14:textId="77777777" w:rsidR="004A0C2D" w:rsidRDefault="00172360" w:rsidP="000312DB">
      <w:pPr>
        <w:pStyle w:val="NoSpacing"/>
        <w:numPr>
          <w:ilvl w:val="0"/>
          <w:numId w:val="17"/>
        </w:numPr>
        <w:jc w:val="both"/>
      </w:pPr>
      <w:r>
        <w:t xml:space="preserve">Investing in further workforce and market development to meet individual needs, contemporary practice and supply </w:t>
      </w:r>
      <w:r w:rsidR="004D6612">
        <w:t>of</w:t>
      </w:r>
      <w:r>
        <w:t xml:space="preserve"> quality services to meet demand.</w:t>
      </w:r>
    </w:p>
    <w:p w14:paraId="708A9123" w14:textId="77777777" w:rsidR="00172360" w:rsidRDefault="00172360" w:rsidP="00172360">
      <w:pPr>
        <w:pStyle w:val="NoSpacing"/>
        <w:jc w:val="both"/>
      </w:pPr>
    </w:p>
    <w:p w14:paraId="0EEED6B7" w14:textId="77777777" w:rsidR="00D411D9" w:rsidRDefault="00D411D9">
      <w:pPr>
        <w:pBdr>
          <w:top w:val="none" w:sz="0" w:space="0" w:color="auto"/>
          <w:left w:val="none" w:sz="0" w:space="0" w:color="auto"/>
          <w:bottom w:val="none" w:sz="0" w:space="0" w:color="auto"/>
          <w:right w:val="none" w:sz="0" w:space="0" w:color="auto"/>
          <w:between w:val="none" w:sz="0" w:space="0" w:color="auto"/>
        </w:pBdr>
        <w:spacing w:before="0" w:after="160" w:line="259" w:lineRule="auto"/>
      </w:pPr>
      <w:r>
        <w:br w:type="page"/>
      </w:r>
    </w:p>
    <w:p w14:paraId="27163854" w14:textId="77777777" w:rsidR="004A0C2D" w:rsidRPr="006B2C98" w:rsidRDefault="004A0C2D" w:rsidP="00B1437A">
      <w:pPr>
        <w:pStyle w:val="Heading2"/>
        <w:rPr>
          <w:b/>
        </w:rPr>
      </w:pPr>
      <w:bookmarkStart w:id="15" w:name="_Toc5631155"/>
      <w:bookmarkStart w:id="16" w:name="_Toc5631182"/>
      <w:bookmarkStart w:id="17" w:name="_Toc5631299"/>
      <w:bookmarkStart w:id="18" w:name="_Toc5631764"/>
      <w:bookmarkStart w:id="19" w:name="_Toc6236084"/>
      <w:bookmarkStart w:id="20" w:name="_GoBack"/>
      <w:bookmarkEnd w:id="9"/>
      <w:bookmarkEnd w:id="10"/>
      <w:bookmarkEnd w:id="11"/>
      <w:bookmarkEnd w:id="12"/>
      <w:bookmarkEnd w:id="20"/>
      <w:r w:rsidRPr="006B2C98">
        <w:rPr>
          <w:b/>
        </w:rPr>
        <w:lastRenderedPageBreak/>
        <w:t>Priority 2</w:t>
      </w:r>
      <w:bookmarkStart w:id="21" w:name="_Toc5631156"/>
      <w:bookmarkEnd w:id="15"/>
      <w:bookmarkEnd w:id="16"/>
      <w:bookmarkEnd w:id="17"/>
      <w:bookmarkEnd w:id="18"/>
      <w:r w:rsidR="005F3135" w:rsidRPr="006B2C98">
        <w:rPr>
          <w:b/>
        </w:rPr>
        <w:t xml:space="preserve"> - </w:t>
      </w:r>
      <w:r w:rsidRPr="006B2C98">
        <w:rPr>
          <w:b/>
        </w:rPr>
        <w:t>Royal Commission into violence, abuse, exploitation and neglect of people with disability</w:t>
      </w:r>
      <w:bookmarkEnd w:id="21"/>
      <w:r w:rsidR="008E29F9" w:rsidRPr="006B2C98">
        <w:rPr>
          <w:b/>
        </w:rPr>
        <w:t xml:space="preserve"> (the Royal Commission)</w:t>
      </w:r>
      <w:bookmarkEnd w:id="19"/>
    </w:p>
    <w:p w14:paraId="1A7BC5F6" w14:textId="77777777" w:rsidR="004A0C2D" w:rsidRPr="004E6C56" w:rsidRDefault="004A0C2D" w:rsidP="004A0C2D">
      <w:pPr>
        <w:pStyle w:val="Heading3"/>
        <w:rPr>
          <w:sz w:val="22"/>
          <w:u w:val="single"/>
        </w:rPr>
      </w:pPr>
    </w:p>
    <w:p w14:paraId="196620DF" w14:textId="77777777" w:rsidR="004A0C2D" w:rsidRPr="006A7CC2" w:rsidRDefault="004A505B" w:rsidP="004A0C2D">
      <w:pPr>
        <w:pStyle w:val="Heading3"/>
        <w:spacing w:before="0" w:line="240" w:lineRule="auto"/>
        <w:jc w:val="both"/>
        <w:rPr>
          <w:b/>
        </w:rPr>
      </w:pPr>
      <w:bookmarkStart w:id="22" w:name="_Toc5631157"/>
      <w:r>
        <w:t xml:space="preserve">Context </w:t>
      </w:r>
      <w:bookmarkEnd w:id="22"/>
    </w:p>
    <w:p w14:paraId="7E07CED2" w14:textId="77777777" w:rsidR="008E29F9" w:rsidRDefault="005F3135" w:rsidP="00F16CFC">
      <w:pPr>
        <w:jc w:val="both"/>
      </w:pPr>
      <w:r w:rsidRPr="005F3135">
        <w:t xml:space="preserve">QDN welcomes the announcement </w:t>
      </w:r>
      <w:r>
        <w:t xml:space="preserve">and implementation of </w:t>
      </w:r>
      <w:r w:rsidRPr="005F3135">
        <w:t>the Royal</w:t>
      </w:r>
      <w:r w:rsidR="008E29F9">
        <w:t xml:space="preserve"> Commission</w:t>
      </w:r>
      <w:r w:rsidRPr="005F3135">
        <w:t xml:space="preserve">.  QDN is aware that the process of gathering and giving evidence at the Royal Commission is going to be a challenging time for each individual. QDN commends that part of this funding, $149M, is committed to assist people with disability to participate in the </w:t>
      </w:r>
      <w:r w:rsidR="008D6B77">
        <w:t xml:space="preserve">Royal </w:t>
      </w:r>
      <w:r w:rsidRPr="005F3135">
        <w:t xml:space="preserve">Commission. </w:t>
      </w:r>
    </w:p>
    <w:p w14:paraId="0C9636E4" w14:textId="77777777" w:rsidR="004A0C2D" w:rsidRPr="005839A6" w:rsidRDefault="004A0C2D" w:rsidP="004A0C2D">
      <w:pPr>
        <w:spacing w:before="0" w:line="240" w:lineRule="auto"/>
        <w:jc w:val="both"/>
        <w:rPr>
          <w:sz w:val="12"/>
          <w:szCs w:val="12"/>
        </w:rPr>
      </w:pPr>
    </w:p>
    <w:p w14:paraId="79C4922E" w14:textId="77777777" w:rsidR="004A505B" w:rsidRDefault="004A0C2D" w:rsidP="008D6B77">
      <w:pPr>
        <w:pStyle w:val="Heading3"/>
        <w:spacing w:before="0" w:line="240" w:lineRule="auto"/>
        <w:jc w:val="both"/>
        <w:rPr>
          <w:rFonts w:eastAsia="MS Mincho"/>
          <w:lang w:val="en-AU" w:eastAsia="en-US"/>
        </w:rPr>
      </w:pPr>
      <w:bookmarkStart w:id="23" w:name="_Toc5631158"/>
      <w:r w:rsidRPr="009005B5">
        <w:rPr>
          <w:rFonts w:eastAsia="MS Mincho"/>
          <w:lang w:val="en-AU" w:eastAsia="en-US"/>
        </w:rPr>
        <w:t xml:space="preserve">QDN calls </w:t>
      </w:r>
      <w:r w:rsidR="004A505B">
        <w:rPr>
          <w:rFonts w:eastAsia="MS Mincho"/>
          <w:lang w:val="en-AU" w:eastAsia="en-US"/>
        </w:rPr>
        <w:t>for</w:t>
      </w:r>
      <w:bookmarkEnd w:id="23"/>
      <w:r w:rsidR="00804E15">
        <w:rPr>
          <w:rFonts w:eastAsia="MS Mincho"/>
          <w:lang w:val="en-AU" w:eastAsia="en-US"/>
        </w:rPr>
        <w:t xml:space="preserve"> candidates to commit to:</w:t>
      </w:r>
    </w:p>
    <w:p w14:paraId="0528E840" w14:textId="77777777" w:rsidR="008D6B77" w:rsidRPr="008D6B77" w:rsidRDefault="00FE286A" w:rsidP="00F16CFC">
      <w:pPr>
        <w:numPr>
          <w:ilvl w:val="0"/>
          <w:numId w:val="13"/>
        </w:numPr>
        <w:ind w:left="714" w:hanging="357"/>
        <w:jc w:val="both"/>
        <w:rPr>
          <w:b/>
        </w:rPr>
      </w:pPr>
      <w:r>
        <w:t>T</w:t>
      </w:r>
      <w:r w:rsidR="008E29F9" w:rsidRPr="008E29F9">
        <w:t xml:space="preserve">he budget </w:t>
      </w:r>
      <w:r w:rsidR="004E6C56" w:rsidRPr="008E29F9">
        <w:t>announcement, which</w:t>
      </w:r>
      <w:r w:rsidR="008E29F9" w:rsidRPr="008E29F9">
        <w:t xml:space="preserve"> allows for effective engag</w:t>
      </w:r>
      <w:r w:rsidR="008E29F9">
        <w:t>ement and additional resources so that people with disability have the support they need to participate in the Royal Commission</w:t>
      </w:r>
      <w:r>
        <w:t>;</w:t>
      </w:r>
    </w:p>
    <w:p w14:paraId="0D628458" w14:textId="77777777" w:rsidR="008E29F9" w:rsidRPr="008D6B77" w:rsidRDefault="008E29F9" w:rsidP="00F16CFC">
      <w:pPr>
        <w:numPr>
          <w:ilvl w:val="0"/>
          <w:numId w:val="13"/>
        </w:numPr>
        <w:ind w:left="714" w:hanging="357"/>
        <w:jc w:val="both"/>
        <w:rPr>
          <w:b/>
        </w:rPr>
      </w:pPr>
      <w:r w:rsidRPr="008E29F9">
        <w:t>Ensure Commissioner</w:t>
      </w:r>
      <w:r>
        <w:t xml:space="preserve">s have no </w:t>
      </w:r>
      <w:r w:rsidRPr="008E29F9">
        <w:t xml:space="preserve">conflict of interest and that there are transparent processes in place </w:t>
      </w:r>
      <w:r>
        <w:t>to declare conflict of interest</w:t>
      </w:r>
      <w:r w:rsidR="00202833">
        <w:t>;</w:t>
      </w:r>
      <w:r w:rsidR="00FE286A">
        <w:t xml:space="preserve"> and </w:t>
      </w:r>
      <w:r>
        <w:t xml:space="preserve"> </w:t>
      </w:r>
    </w:p>
    <w:p w14:paraId="177BD413" w14:textId="77777777" w:rsidR="008E29F9" w:rsidRPr="008E29F9" w:rsidRDefault="008E29F9" w:rsidP="00F16CFC">
      <w:pPr>
        <w:numPr>
          <w:ilvl w:val="0"/>
          <w:numId w:val="13"/>
        </w:numPr>
        <w:ind w:left="714" w:hanging="357"/>
        <w:jc w:val="both"/>
      </w:pPr>
      <w:r w:rsidRPr="008E29F9">
        <w:t xml:space="preserve">Ensure that the support available to assist individuals is tendered to organisations </w:t>
      </w:r>
      <w:r w:rsidR="00B1437A">
        <w:t xml:space="preserve">that are not direct service providers </w:t>
      </w:r>
      <w:r w:rsidRPr="008E29F9">
        <w:t xml:space="preserve">and are free from potential or </w:t>
      </w:r>
      <w:r w:rsidR="00B1437A">
        <w:t xml:space="preserve">real </w:t>
      </w:r>
      <w:r w:rsidRPr="008E29F9">
        <w:t>conflicts of interest</w:t>
      </w:r>
      <w:r w:rsidR="00B1437A">
        <w:t xml:space="preserve">.  </w:t>
      </w:r>
      <w:r w:rsidRPr="008E29F9">
        <w:br w:type="page"/>
      </w:r>
    </w:p>
    <w:p w14:paraId="0483A7E9" w14:textId="77777777" w:rsidR="004A0C2D" w:rsidRPr="006B2C98" w:rsidRDefault="004A0C2D" w:rsidP="008D6B77">
      <w:pPr>
        <w:pStyle w:val="Heading2"/>
        <w:rPr>
          <w:b/>
        </w:rPr>
      </w:pPr>
      <w:bookmarkStart w:id="24" w:name="_Toc5631147"/>
      <w:bookmarkStart w:id="25" w:name="_Toc5631180"/>
      <w:bookmarkStart w:id="26" w:name="_Toc5631297"/>
      <w:bookmarkStart w:id="27" w:name="_Toc5631762"/>
      <w:bookmarkStart w:id="28" w:name="_Toc6236085"/>
      <w:r w:rsidRPr="006B2C98">
        <w:rPr>
          <w:b/>
        </w:rPr>
        <w:lastRenderedPageBreak/>
        <w:t>Priority 3</w:t>
      </w:r>
      <w:bookmarkEnd w:id="24"/>
      <w:bookmarkEnd w:id="25"/>
      <w:bookmarkEnd w:id="26"/>
      <w:bookmarkEnd w:id="27"/>
      <w:r w:rsidR="008D6B77" w:rsidRPr="006B2C98">
        <w:rPr>
          <w:b/>
        </w:rPr>
        <w:t xml:space="preserve"> </w:t>
      </w:r>
      <w:bookmarkStart w:id="29" w:name="_Toc5631148"/>
      <w:r w:rsidR="008D6B77" w:rsidRPr="006B2C98">
        <w:rPr>
          <w:b/>
        </w:rPr>
        <w:t xml:space="preserve">- </w:t>
      </w:r>
      <w:r w:rsidRPr="006B2C98">
        <w:rPr>
          <w:b/>
        </w:rPr>
        <w:t>Housing</w:t>
      </w:r>
      <w:bookmarkEnd w:id="29"/>
      <w:bookmarkEnd w:id="28"/>
    </w:p>
    <w:p w14:paraId="49CD424D" w14:textId="77777777" w:rsidR="004A0C2D" w:rsidRPr="000C45A1" w:rsidRDefault="004A0C2D" w:rsidP="004A0C2D">
      <w:pPr>
        <w:spacing w:before="0" w:line="240" w:lineRule="auto"/>
        <w:jc w:val="both"/>
        <w:rPr>
          <w:sz w:val="12"/>
          <w:szCs w:val="12"/>
        </w:rPr>
      </w:pPr>
    </w:p>
    <w:p w14:paraId="627567B3" w14:textId="77777777" w:rsidR="004A0C2D" w:rsidRPr="006A7CC2" w:rsidRDefault="008D6B77" w:rsidP="004A0C2D">
      <w:pPr>
        <w:pStyle w:val="Heading3"/>
        <w:spacing w:before="0" w:line="240" w:lineRule="auto"/>
        <w:jc w:val="both"/>
        <w:rPr>
          <w:b/>
        </w:rPr>
      </w:pPr>
      <w:bookmarkStart w:id="30" w:name="_Toc5631149"/>
      <w:r>
        <w:t xml:space="preserve">Context </w:t>
      </w:r>
      <w:bookmarkEnd w:id="30"/>
    </w:p>
    <w:p w14:paraId="4D18352A" w14:textId="77777777" w:rsidR="00CC5307" w:rsidRPr="00CC5307" w:rsidRDefault="008D6B77" w:rsidP="00F16CFC">
      <w:pPr>
        <w:spacing w:before="240"/>
        <w:jc w:val="both"/>
      </w:pPr>
      <w:bookmarkStart w:id="31" w:name="_Toc5631150"/>
      <w:r w:rsidRPr="002A02EC">
        <w:t>People with disability are disproportionately affected by the lack of accessible, affordable</w:t>
      </w:r>
      <w:r w:rsidR="005242A2">
        <w:t>, secure</w:t>
      </w:r>
      <w:r w:rsidRPr="002A02EC">
        <w:t xml:space="preserve"> and safe housing in Australia. </w:t>
      </w:r>
      <w:r w:rsidR="00CC5307" w:rsidRPr="00CC5307">
        <w:t>Demand far outstrips supply</w:t>
      </w:r>
      <w:r w:rsidR="004D13DF">
        <w:t>.  M</w:t>
      </w:r>
      <w:r w:rsidR="00CC5307" w:rsidRPr="00CC5307">
        <w:t>any people with disability on low incomes are forced to rent privately in a market where they face discrimination and a shortage of accessible properties</w:t>
      </w:r>
      <w:r w:rsidR="004D13DF">
        <w:t>.  A</w:t>
      </w:r>
      <w:r w:rsidR="00CC5307" w:rsidRPr="00CC5307">
        <w:t>ffordable housing is often poorly located outside metropolitan areas, with limited accessible public transport, local services and employment opportunities.</w:t>
      </w:r>
    </w:p>
    <w:p w14:paraId="34BC5EC1" w14:textId="77777777" w:rsidR="00875613" w:rsidRPr="00CC5307" w:rsidRDefault="00875613" w:rsidP="00F16CFC">
      <w:pPr>
        <w:spacing w:before="240"/>
        <w:jc w:val="both"/>
      </w:pPr>
      <w:r w:rsidRPr="00875613">
        <w:t>Housing is not coordinated across Australia, with many different agencies and levels of government involved in the provision of housing for people with disability. We need a national housing plan for people with disability, as part of a National Housing Strategy, in coordination with the National Disability Strategy.</w:t>
      </w:r>
    </w:p>
    <w:p w14:paraId="398BEB6E" w14:textId="32B7AA5C" w:rsidR="008D6B77" w:rsidRPr="002A02EC" w:rsidRDefault="008D6B77" w:rsidP="00F16CFC">
      <w:pPr>
        <w:spacing w:before="240"/>
        <w:jc w:val="both"/>
      </w:pPr>
      <w:r w:rsidRPr="002A02EC">
        <w:t xml:space="preserve">QDN’s Housing Position </w:t>
      </w:r>
      <w:r w:rsidRPr="002A02EC">
        <w:rPr>
          <w:szCs w:val="24"/>
        </w:rPr>
        <w:t xml:space="preserve">Paper </w:t>
      </w:r>
      <w:hyperlink r:id="rId21" w:history="1">
        <w:r w:rsidRPr="00A8571B">
          <w:rPr>
            <w:rStyle w:val="Hyperlink"/>
            <w:i/>
            <w:szCs w:val="24"/>
          </w:rPr>
          <w:t>Going for Gold: Accessible, Affordable Housing Now</w:t>
        </w:r>
      </w:hyperlink>
      <w:r w:rsidRPr="002A02EC">
        <w:rPr>
          <w:i/>
          <w:szCs w:val="24"/>
        </w:rPr>
        <w:t xml:space="preserve"> </w:t>
      </w:r>
      <w:r w:rsidRPr="002A02EC">
        <w:rPr>
          <w:szCs w:val="24"/>
        </w:rPr>
        <w:t>contains</w:t>
      </w:r>
      <w:r w:rsidRPr="002A02EC">
        <w:t xml:space="preserve"> four key principles</w:t>
      </w:r>
      <w:r w:rsidR="00432E67" w:rsidRPr="002A02EC">
        <w:t xml:space="preserve"> of Rights, Choice, Inclusion and Control</w:t>
      </w:r>
      <w:r w:rsidR="00A8571B">
        <w:t xml:space="preserve"> </w:t>
      </w:r>
      <w:r w:rsidR="00202833">
        <w:t xml:space="preserve">along with </w:t>
      </w:r>
      <w:r w:rsidRPr="002A02EC">
        <w:t>11 major recommendations and strategic actions that can be taken now by Government, private and community sector stakeholders to address this fundamental human need and human right – to have a place to call home.</w:t>
      </w:r>
      <w:r w:rsidR="00432E67" w:rsidRPr="002A02EC">
        <w:t xml:space="preserve">  </w:t>
      </w:r>
      <w:r w:rsidRPr="002A02EC">
        <w:t xml:space="preserve">QDN also supports the 2019 </w:t>
      </w:r>
      <w:r w:rsidRPr="002A02EC">
        <w:rPr>
          <w:rFonts w:eastAsia="Times New Roman"/>
          <w:color w:val="auto"/>
          <w:szCs w:val="24"/>
          <w:shd w:val="clear" w:color="auto" w:fill="FFFFFF"/>
        </w:rPr>
        <w:t xml:space="preserve">Housing </w:t>
      </w:r>
      <w:hyperlink r:id="rId22" w:history="1">
        <w:r w:rsidRPr="002A02EC">
          <w:rPr>
            <w:rFonts w:eastAsia="Times New Roman"/>
            <w:color w:val="0563C1" w:themeColor="hyperlink"/>
            <w:szCs w:val="24"/>
            <w:u w:val="single"/>
            <w:shd w:val="clear" w:color="auto" w:fill="FFFFFF"/>
          </w:rPr>
          <w:t>pre-budget submission</w:t>
        </w:r>
      </w:hyperlink>
      <w:r w:rsidRPr="002A02EC">
        <w:rPr>
          <w:rFonts w:eastAsia="Times New Roman"/>
          <w:color w:val="auto"/>
          <w:szCs w:val="24"/>
          <w:shd w:val="clear" w:color="auto" w:fill="FFFFFF"/>
        </w:rPr>
        <w:t xml:space="preserve"> made</w:t>
      </w:r>
      <w:r w:rsidRPr="002A02EC">
        <w:t xml:space="preserve"> by People with Disability Australia</w:t>
      </w:r>
      <w:r w:rsidR="00CC5307">
        <w:t xml:space="preserve"> with input from the Summer Foundation, Australian network for Universal </w:t>
      </w:r>
      <w:r w:rsidR="001C0706">
        <w:t xml:space="preserve">Housing </w:t>
      </w:r>
      <w:r w:rsidR="00CC5307">
        <w:t xml:space="preserve">Design and National Shelter.  </w:t>
      </w:r>
    </w:p>
    <w:p w14:paraId="47D3A238" w14:textId="77777777" w:rsidR="00432E67" w:rsidRDefault="00875613" w:rsidP="00F16CFC">
      <w:pPr>
        <w:spacing w:before="240"/>
        <w:jc w:val="both"/>
      </w:pPr>
      <w:r w:rsidRPr="00CC5307">
        <w:t>Creative, flexible housing options are also key to the delivery of the objectives of the NDIS.</w:t>
      </w:r>
      <w:r>
        <w:t xml:space="preserve"> </w:t>
      </w:r>
      <w:r w:rsidR="00432E67" w:rsidRPr="002A02EC">
        <w:t xml:space="preserve">Outcomes of the </w:t>
      </w:r>
      <w:hyperlink r:id="rId23" w:history="1">
        <w:r w:rsidR="00432E67" w:rsidRPr="002A02EC">
          <w:rPr>
            <w:rStyle w:val="Hyperlink"/>
          </w:rPr>
          <w:t>SDA Review Framework</w:t>
        </w:r>
      </w:hyperlink>
      <w:r w:rsidR="00432E67" w:rsidRPr="00432E67">
        <w:t xml:space="preserve"> will benefit people with </w:t>
      </w:r>
      <w:r w:rsidR="00E24BF6" w:rsidRPr="00432E67">
        <w:t>disability,</w:t>
      </w:r>
      <w:r w:rsidR="00432E67" w:rsidRPr="00432E67">
        <w:t xml:space="preserve"> as it will include an enhanced Participant Pathway</w:t>
      </w:r>
      <w:r w:rsidR="00432E67">
        <w:t>.</w:t>
      </w:r>
    </w:p>
    <w:p w14:paraId="1D030E38" w14:textId="76CBF7EB" w:rsidR="00432E67" w:rsidRPr="000312DB" w:rsidRDefault="00432E67" w:rsidP="00F16CFC">
      <w:pPr>
        <w:jc w:val="both"/>
        <w:rPr>
          <w:color w:val="auto"/>
          <w:shd w:val="clear" w:color="auto" w:fill="FFFFFF"/>
        </w:rPr>
      </w:pPr>
      <w:r w:rsidRPr="00432E67">
        <w:t xml:space="preserve">People with disability require urgent targeted investment in accessible, affordable housing. QDN </w:t>
      </w:r>
      <w:r w:rsidR="009D4B7F">
        <w:t xml:space="preserve">calls on </w:t>
      </w:r>
      <w:r w:rsidR="009D4B7F" w:rsidRPr="000312DB">
        <w:rPr>
          <w:color w:val="auto"/>
        </w:rPr>
        <w:t xml:space="preserve">the </w:t>
      </w:r>
      <w:r w:rsidRPr="000312DB">
        <w:rPr>
          <w:color w:val="auto"/>
          <w:shd w:val="clear" w:color="auto" w:fill="FFFFFF"/>
        </w:rPr>
        <w:t>National Housing Finance and Investment Corporation (NHFIC) to provide further investment in, and development of, accessible, affordable housing stock for people with disability.</w:t>
      </w:r>
    </w:p>
    <w:p w14:paraId="194545F3" w14:textId="5498B047" w:rsidR="00432E67" w:rsidRPr="000312DB" w:rsidRDefault="00432E67" w:rsidP="00F16CFC">
      <w:pPr>
        <w:jc w:val="both"/>
        <w:rPr>
          <w:color w:val="auto"/>
          <w:shd w:val="clear" w:color="auto" w:fill="FFFFFF"/>
        </w:rPr>
      </w:pPr>
      <w:r w:rsidRPr="000312DB">
        <w:rPr>
          <w:color w:val="auto"/>
          <w:shd w:val="clear" w:color="auto" w:fill="FFFFFF"/>
        </w:rPr>
        <w:t xml:space="preserve">QDN </w:t>
      </w:r>
      <w:r w:rsidR="00F46566" w:rsidRPr="000312DB">
        <w:rPr>
          <w:color w:val="auto"/>
          <w:shd w:val="clear" w:color="auto" w:fill="FFFFFF"/>
        </w:rPr>
        <w:t xml:space="preserve">believes </w:t>
      </w:r>
      <w:r w:rsidR="00E24BF6" w:rsidRPr="000312DB">
        <w:rPr>
          <w:color w:val="auto"/>
          <w:shd w:val="clear" w:color="auto" w:fill="FFFFFF"/>
        </w:rPr>
        <w:t>the r</w:t>
      </w:r>
      <w:r w:rsidRPr="000312DB">
        <w:rPr>
          <w:color w:val="auto"/>
          <w:shd w:val="clear" w:color="auto" w:fill="FFFFFF"/>
        </w:rPr>
        <w:t>e-fund</w:t>
      </w:r>
      <w:r w:rsidR="00E24BF6" w:rsidRPr="000312DB">
        <w:rPr>
          <w:color w:val="auto"/>
          <w:shd w:val="clear" w:color="auto" w:fill="FFFFFF"/>
        </w:rPr>
        <w:t>ing of</w:t>
      </w:r>
      <w:r w:rsidRPr="000312DB">
        <w:rPr>
          <w:color w:val="auto"/>
          <w:shd w:val="clear" w:color="auto" w:fill="FFFFFF"/>
        </w:rPr>
        <w:t xml:space="preserve"> the National Rental Affordability Scheme (NRAS) </w:t>
      </w:r>
      <w:r w:rsidR="00F46566" w:rsidRPr="000312DB">
        <w:rPr>
          <w:color w:val="auto"/>
          <w:shd w:val="clear" w:color="auto" w:fill="FFFFFF"/>
        </w:rPr>
        <w:t xml:space="preserve">should have </w:t>
      </w:r>
      <w:r w:rsidR="00E24BF6" w:rsidRPr="000312DB">
        <w:rPr>
          <w:color w:val="auto"/>
          <w:shd w:val="clear" w:color="auto" w:fill="FFFFFF"/>
        </w:rPr>
        <w:t xml:space="preserve">specific targets </w:t>
      </w:r>
      <w:r w:rsidRPr="000312DB">
        <w:rPr>
          <w:color w:val="auto"/>
          <w:shd w:val="clear" w:color="auto" w:fill="FFFFFF"/>
        </w:rPr>
        <w:t>so people with disability</w:t>
      </w:r>
      <w:r w:rsidR="00202833">
        <w:rPr>
          <w:color w:val="auto"/>
          <w:shd w:val="clear" w:color="auto" w:fill="FFFFFF"/>
        </w:rPr>
        <w:t xml:space="preserve"> </w:t>
      </w:r>
      <w:r w:rsidR="001862F3">
        <w:rPr>
          <w:color w:val="auto"/>
          <w:shd w:val="clear" w:color="auto" w:fill="FFFFFF"/>
        </w:rPr>
        <w:t xml:space="preserve">can </w:t>
      </w:r>
      <w:r w:rsidR="00202833">
        <w:rPr>
          <w:color w:val="auto"/>
          <w:shd w:val="clear" w:color="auto" w:fill="FFFFFF"/>
        </w:rPr>
        <w:t xml:space="preserve">access </w:t>
      </w:r>
      <w:r w:rsidRPr="000312DB">
        <w:rPr>
          <w:color w:val="auto"/>
          <w:shd w:val="clear" w:color="auto" w:fill="FFFFFF"/>
        </w:rPr>
        <w:t>assistance through this scheme, particularly those who are not eligible for the NDIS or S</w:t>
      </w:r>
      <w:r w:rsidR="001C0706">
        <w:rPr>
          <w:color w:val="auto"/>
          <w:shd w:val="clear" w:color="auto" w:fill="FFFFFF"/>
        </w:rPr>
        <w:t xml:space="preserve">pecialist </w:t>
      </w:r>
      <w:r w:rsidRPr="000312DB">
        <w:rPr>
          <w:color w:val="auto"/>
          <w:shd w:val="clear" w:color="auto" w:fill="FFFFFF"/>
        </w:rPr>
        <w:t>D</w:t>
      </w:r>
      <w:r w:rsidR="001C0706">
        <w:rPr>
          <w:color w:val="auto"/>
          <w:shd w:val="clear" w:color="auto" w:fill="FFFFFF"/>
        </w:rPr>
        <w:t xml:space="preserve">isability </w:t>
      </w:r>
      <w:r w:rsidRPr="000312DB">
        <w:rPr>
          <w:color w:val="auto"/>
          <w:shd w:val="clear" w:color="auto" w:fill="FFFFFF"/>
        </w:rPr>
        <w:t>A</w:t>
      </w:r>
      <w:r w:rsidR="001C0706">
        <w:rPr>
          <w:color w:val="auto"/>
          <w:shd w:val="clear" w:color="auto" w:fill="FFFFFF"/>
        </w:rPr>
        <w:t>ccommodation (SDA)</w:t>
      </w:r>
      <w:r w:rsidRPr="000312DB">
        <w:rPr>
          <w:color w:val="auto"/>
          <w:shd w:val="clear" w:color="auto" w:fill="FFFFFF"/>
        </w:rPr>
        <w:t xml:space="preserve"> Housing. </w:t>
      </w:r>
    </w:p>
    <w:p w14:paraId="11993952" w14:textId="77777777" w:rsidR="00432E67" w:rsidRPr="000312DB" w:rsidRDefault="00432E67" w:rsidP="00F16CFC">
      <w:pPr>
        <w:jc w:val="both"/>
        <w:rPr>
          <w:color w:val="auto"/>
        </w:rPr>
      </w:pPr>
      <w:r w:rsidRPr="000312DB">
        <w:rPr>
          <w:color w:val="auto"/>
          <w:shd w:val="clear" w:color="auto" w:fill="FFFFFF"/>
        </w:rPr>
        <w:t xml:space="preserve">QDN supports </w:t>
      </w:r>
      <w:r w:rsidR="00F46566" w:rsidRPr="000312DB">
        <w:rPr>
          <w:color w:val="auto"/>
          <w:shd w:val="clear" w:color="auto" w:fill="FFFFFF"/>
        </w:rPr>
        <w:t xml:space="preserve">an </w:t>
      </w:r>
      <w:r w:rsidRPr="000312DB">
        <w:rPr>
          <w:color w:val="auto"/>
          <w:shd w:val="clear" w:color="auto" w:fill="FFFFFF"/>
        </w:rPr>
        <w:t xml:space="preserve">increase in Commonwealth Rent Assistance for people with disability. </w:t>
      </w:r>
      <w:r w:rsidRPr="000312DB">
        <w:rPr>
          <w:color w:val="auto"/>
        </w:rPr>
        <w:t xml:space="preserve">Current rent assistance is not adequate to reduce housing stress for many people with disability who rely on income support, such as the Disability Support Pension and Newstart.  </w:t>
      </w:r>
    </w:p>
    <w:p w14:paraId="3E38C18D" w14:textId="0CB3A936" w:rsidR="00432E67" w:rsidRPr="00432E67" w:rsidRDefault="00432E67" w:rsidP="00F16CFC">
      <w:pPr>
        <w:jc w:val="both"/>
      </w:pPr>
      <w:r w:rsidRPr="00432E67">
        <w:t xml:space="preserve">QDN </w:t>
      </w:r>
      <w:r w:rsidR="00F46566">
        <w:t xml:space="preserve">supports the recommendations </w:t>
      </w:r>
      <w:r w:rsidRPr="00432E67">
        <w:t xml:space="preserve">set out in the </w:t>
      </w:r>
      <w:hyperlink r:id="rId24" w:history="1">
        <w:r w:rsidRPr="00E24BF6">
          <w:rPr>
            <w:rStyle w:val="Hyperlink"/>
          </w:rPr>
          <w:t>Everybody’s Home campaign</w:t>
        </w:r>
      </w:hyperlink>
      <w:r w:rsidR="00F46566">
        <w:t xml:space="preserve"> regarding increasing public housing stock</w:t>
      </w:r>
      <w:r w:rsidR="00202833">
        <w:t>, including setting targets for dwellings for people with disability</w:t>
      </w:r>
      <w:r w:rsidR="00F46566">
        <w:t xml:space="preserve">.  </w:t>
      </w:r>
      <w:r w:rsidRPr="00432E67">
        <w:t>This should align with the C</w:t>
      </w:r>
      <w:r w:rsidR="001C0706">
        <w:t xml:space="preserve">ouncil of </w:t>
      </w:r>
      <w:r w:rsidRPr="00432E67">
        <w:t>A</w:t>
      </w:r>
      <w:r w:rsidR="001C0706">
        <w:t xml:space="preserve">ustralian </w:t>
      </w:r>
      <w:r w:rsidRPr="00432E67">
        <w:t>G</w:t>
      </w:r>
      <w:r w:rsidR="001C0706">
        <w:t xml:space="preserve">overnments </w:t>
      </w:r>
      <w:r w:rsidR="001C0706">
        <w:lastRenderedPageBreak/>
        <w:t>(COAG)</w:t>
      </w:r>
      <w:r w:rsidRPr="00432E67">
        <w:t xml:space="preserve"> reforms regarding the National Disability Agreement, linking future national housing</w:t>
      </w:r>
      <w:r w:rsidRPr="00432E67">
        <w:rPr>
          <w:b/>
        </w:rPr>
        <w:t xml:space="preserve"> </w:t>
      </w:r>
      <w:r w:rsidRPr="00432E67">
        <w:t xml:space="preserve">agreements with this strategy and setting targets to achieve outcomes. </w:t>
      </w:r>
    </w:p>
    <w:p w14:paraId="226611FF" w14:textId="77777777" w:rsidR="001C6C9D" w:rsidRPr="001C6C9D" w:rsidRDefault="00432E67" w:rsidP="00F16CFC">
      <w:pPr>
        <w:jc w:val="both"/>
      </w:pPr>
      <w:r w:rsidRPr="00432E67">
        <w:t xml:space="preserve">The Australian Government needs to ensure that the National Construction Code incorporates the Livable Housing Australia Gold Level design features. </w:t>
      </w:r>
    </w:p>
    <w:p w14:paraId="40CD19F6" w14:textId="5F0F2B13" w:rsidR="00432E67" w:rsidRPr="006A4164" w:rsidRDefault="00073D0B" w:rsidP="00F16CFC">
      <w:pPr>
        <w:jc w:val="both"/>
      </w:pPr>
      <w:r>
        <w:t>Additionally, t</w:t>
      </w:r>
      <w:r w:rsidR="006A4164" w:rsidRPr="006A4164">
        <w:t xml:space="preserve">he Australian government should ensure that </w:t>
      </w:r>
      <w:r w:rsidR="001C0706">
        <w:t>h</w:t>
      </w:r>
      <w:r w:rsidR="00432E67" w:rsidRPr="006A4164">
        <w:t>ome purchase assistance, including shared equity</w:t>
      </w:r>
      <w:r w:rsidR="006A4164" w:rsidRPr="006A4164">
        <w:t xml:space="preserve"> is available to all p</w:t>
      </w:r>
      <w:r w:rsidR="00432E67" w:rsidRPr="006A4164">
        <w:t>eople with disability</w:t>
      </w:r>
      <w:r w:rsidR="006A4164">
        <w:rPr>
          <w:b/>
        </w:rPr>
        <w:t>.</w:t>
      </w:r>
      <w:r w:rsidR="00432E67" w:rsidRPr="00432E67">
        <w:t xml:space="preserve"> </w:t>
      </w:r>
      <w:r w:rsidR="00432E67" w:rsidRPr="006A4164">
        <w:t xml:space="preserve">These programs </w:t>
      </w:r>
      <w:r w:rsidR="006A4164" w:rsidRPr="006A4164">
        <w:t xml:space="preserve">should be expanded </w:t>
      </w:r>
      <w:r w:rsidR="00432E67" w:rsidRPr="006A4164">
        <w:t>to all States and Territories.</w:t>
      </w:r>
    </w:p>
    <w:p w14:paraId="1769C04C" w14:textId="77777777" w:rsidR="008D6B77" w:rsidRDefault="008D6B77" w:rsidP="00F16CFC">
      <w:pPr>
        <w:pStyle w:val="NoSpacing"/>
        <w:jc w:val="both"/>
        <w:rPr>
          <w:lang w:val="en-AU" w:eastAsia="en-US"/>
        </w:rPr>
      </w:pPr>
    </w:p>
    <w:p w14:paraId="4F02D37D" w14:textId="77777777" w:rsidR="008D6B77" w:rsidRDefault="004A0C2D" w:rsidP="008D6B77">
      <w:pPr>
        <w:pStyle w:val="Heading3"/>
        <w:spacing w:before="0" w:line="240" w:lineRule="auto"/>
        <w:jc w:val="both"/>
        <w:rPr>
          <w:rFonts w:eastAsia="MS Mincho"/>
          <w:lang w:val="en-AU" w:eastAsia="en-US"/>
        </w:rPr>
      </w:pPr>
      <w:r w:rsidRPr="009005B5">
        <w:rPr>
          <w:rFonts w:eastAsia="MS Mincho"/>
          <w:lang w:val="en-AU" w:eastAsia="en-US"/>
        </w:rPr>
        <w:t xml:space="preserve">QDN calls </w:t>
      </w:r>
      <w:r w:rsidR="008D6B77">
        <w:rPr>
          <w:rFonts w:eastAsia="MS Mincho"/>
          <w:lang w:val="en-AU" w:eastAsia="en-US"/>
        </w:rPr>
        <w:t>for</w:t>
      </w:r>
      <w:bookmarkEnd w:id="31"/>
      <w:r w:rsidR="00875613">
        <w:rPr>
          <w:rFonts w:eastAsia="MS Mincho"/>
          <w:lang w:val="en-AU" w:eastAsia="en-US"/>
        </w:rPr>
        <w:t xml:space="preserve"> candidates to commit to:</w:t>
      </w:r>
    </w:p>
    <w:p w14:paraId="3A783EDF" w14:textId="77777777" w:rsidR="00EF22D7" w:rsidRDefault="00875613" w:rsidP="004E6C56">
      <w:pPr>
        <w:pStyle w:val="NoSpacing"/>
        <w:numPr>
          <w:ilvl w:val="0"/>
          <w:numId w:val="32"/>
        </w:numPr>
        <w:spacing w:before="120" w:line="276" w:lineRule="auto"/>
        <w:ind w:left="357" w:hanging="357"/>
        <w:contextualSpacing/>
        <w:jc w:val="both"/>
      </w:pPr>
      <w:r>
        <w:t>Development and implementation of a</w:t>
      </w:r>
      <w:r w:rsidR="00EF22D7" w:rsidRPr="005839A6">
        <w:t xml:space="preserve"> national housing plan for people with disability, as part of a National Housing Strategy, which aligns with the National Disability Agreement and Strategy</w:t>
      </w:r>
      <w:r w:rsidR="00202833">
        <w:t>;</w:t>
      </w:r>
    </w:p>
    <w:p w14:paraId="3210D066" w14:textId="12176C16" w:rsidR="00EF22D7" w:rsidRDefault="00EF22D7" w:rsidP="004E6C56">
      <w:pPr>
        <w:pStyle w:val="NoSpacing"/>
        <w:numPr>
          <w:ilvl w:val="0"/>
          <w:numId w:val="32"/>
        </w:numPr>
        <w:spacing w:before="120" w:line="276" w:lineRule="auto"/>
        <w:ind w:left="357" w:hanging="357"/>
        <w:contextualSpacing/>
        <w:jc w:val="both"/>
      </w:pPr>
      <w:r w:rsidRPr="00EA6585">
        <w:rPr>
          <w:color w:val="383838"/>
          <w:shd w:val="clear" w:color="auto" w:fill="FFFFFF"/>
        </w:rPr>
        <w:t>Re-fund</w:t>
      </w:r>
      <w:r w:rsidR="00875613">
        <w:rPr>
          <w:color w:val="383838"/>
          <w:shd w:val="clear" w:color="auto" w:fill="FFFFFF"/>
        </w:rPr>
        <w:t>ing</w:t>
      </w:r>
      <w:r w:rsidRPr="00EA6585">
        <w:rPr>
          <w:color w:val="383838"/>
          <w:shd w:val="clear" w:color="auto" w:fill="FFFFFF"/>
        </w:rPr>
        <w:t xml:space="preserve"> the NRAS with set targets for people with disability to get assistance through this scheme</w:t>
      </w:r>
      <w:r w:rsidR="00202833">
        <w:rPr>
          <w:color w:val="383838"/>
          <w:shd w:val="clear" w:color="auto" w:fill="FFFFFF"/>
        </w:rPr>
        <w:t>;</w:t>
      </w:r>
    </w:p>
    <w:p w14:paraId="4A17954C" w14:textId="77777777" w:rsidR="007E7916" w:rsidRDefault="004A0C2D" w:rsidP="004E6C56">
      <w:pPr>
        <w:pStyle w:val="NoSpacing"/>
        <w:numPr>
          <w:ilvl w:val="0"/>
          <w:numId w:val="32"/>
        </w:numPr>
        <w:spacing w:before="120" w:line="276" w:lineRule="auto"/>
        <w:ind w:left="357" w:hanging="357"/>
        <w:contextualSpacing/>
        <w:jc w:val="both"/>
      </w:pPr>
      <w:r w:rsidRPr="005839A6">
        <w:t>SDA Review Framework</w:t>
      </w:r>
      <w:r w:rsidR="00EA6585">
        <w:t xml:space="preserve"> implementation including</w:t>
      </w:r>
      <w:r w:rsidRPr="005839A6">
        <w:t xml:space="preserve"> key recommendations to ensure that SDA is appropriately funded to deliver new housing options for people with disability</w:t>
      </w:r>
      <w:r w:rsidR="007E7916">
        <w:t>;</w:t>
      </w:r>
      <w:r w:rsidRPr="005839A6">
        <w:t xml:space="preserve"> </w:t>
      </w:r>
    </w:p>
    <w:p w14:paraId="05C75FF3" w14:textId="7692CE9B" w:rsidR="007E7916" w:rsidRDefault="004A0C2D" w:rsidP="004E6C56">
      <w:pPr>
        <w:pStyle w:val="NoSpacing"/>
        <w:numPr>
          <w:ilvl w:val="0"/>
          <w:numId w:val="32"/>
        </w:numPr>
        <w:spacing w:before="120" w:line="276" w:lineRule="auto"/>
        <w:ind w:left="357" w:hanging="357"/>
        <w:contextualSpacing/>
        <w:jc w:val="both"/>
      </w:pPr>
      <w:r w:rsidRPr="005839A6">
        <w:t>Enhanc</w:t>
      </w:r>
      <w:r w:rsidR="00875613">
        <w:t>ing</w:t>
      </w:r>
      <w:r w:rsidRPr="005839A6">
        <w:t xml:space="preserve"> </w:t>
      </w:r>
      <w:r w:rsidR="007E7916">
        <w:t>N</w:t>
      </w:r>
      <w:r w:rsidR="001C0706">
        <w:t xml:space="preserve">ational </w:t>
      </w:r>
      <w:r w:rsidRPr="005839A6">
        <w:t>H</w:t>
      </w:r>
      <w:r w:rsidR="001C0706">
        <w:t xml:space="preserve">ousing </w:t>
      </w:r>
      <w:r w:rsidRPr="005839A6">
        <w:t>F</w:t>
      </w:r>
      <w:r w:rsidR="001C0706">
        <w:t xml:space="preserve">inance and </w:t>
      </w:r>
      <w:r w:rsidRPr="005839A6">
        <w:t>I</w:t>
      </w:r>
      <w:r w:rsidR="001C0706">
        <w:t xml:space="preserve">nvestment </w:t>
      </w:r>
      <w:r w:rsidRPr="005839A6">
        <w:t>C</w:t>
      </w:r>
      <w:r w:rsidR="001C0706">
        <w:t>orporation</w:t>
      </w:r>
      <w:r w:rsidRPr="005839A6">
        <w:t xml:space="preserve">’s </w:t>
      </w:r>
      <w:r w:rsidR="001C0706">
        <w:t xml:space="preserve">(NHFIC) </w:t>
      </w:r>
      <w:r w:rsidRPr="005839A6">
        <w:t>mandate to include borrowing for accessible and affordable housing</w:t>
      </w:r>
      <w:r w:rsidR="007E7916">
        <w:t xml:space="preserve">;  </w:t>
      </w:r>
    </w:p>
    <w:p w14:paraId="5B4053E7" w14:textId="77777777" w:rsidR="001C0706" w:rsidRDefault="004A0C2D" w:rsidP="004E6C56">
      <w:pPr>
        <w:pStyle w:val="NoSpacing"/>
        <w:numPr>
          <w:ilvl w:val="0"/>
          <w:numId w:val="32"/>
        </w:numPr>
        <w:spacing w:before="120" w:line="276" w:lineRule="auto"/>
        <w:ind w:left="357" w:hanging="357"/>
        <w:contextualSpacing/>
        <w:jc w:val="both"/>
      </w:pPr>
      <w:r w:rsidRPr="005839A6">
        <w:t>Mandat</w:t>
      </w:r>
      <w:r w:rsidR="00875613">
        <w:t>ing</w:t>
      </w:r>
      <w:r w:rsidRPr="005839A6">
        <w:t xml:space="preserve"> accessibility features in all new housing, through the National Construction Code, to a minimum of Livable Housing Australia Gold Level Design.</w:t>
      </w:r>
    </w:p>
    <w:p w14:paraId="4CB8B0DD" w14:textId="71459F22" w:rsidR="007E7916" w:rsidRDefault="00875613" w:rsidP="004E6C56">
      <w:pPr>
        <w:pStyle w:val="NoSpacing"/>
        <w:numPr>
          <w:ilvl w:val="0"/>
          <w:numId w:val="32"/>
        </w:numPr>
        <w:spacing w:before="120" w:line="276" w:lineRule="auto"/>
        <w:ind w:left="357" w:hanging="357"/>
        <w:contextualSpacing/>
        <w:jc w:val="both"/>
      </w:pPr>
      <w:r>
        <w:t>I</w:t>
      </w:r>
      <w:r w:rsidR="004A0C2D" w:rsidRPr="005839A6">
        <w:t>mplement</w:t>
      </w:r>
      <w:r>
        <w:t>ing</w:t>
      </w:r>
      <w:r w:rsidR="004A0C2D" w:rsidRPr="005839A6">
        <w:t xml:space="preserve"> funding options to make all necessary modification of existing social housing to meet Livable Housing Australia Gold Level Design</w:t>
      </w:r>
      <w:r w:rsidR="00202833">
        <w:t xml:space="preserve">; </w:t>
      </w:r>
      <w:r w:rsidR="004A0C2D" w:rsidRPr="005839A6">
        <w:t xml:space="preserve"> </w:t>
      </w:r>
    </w:p>
    <w:p w14:paraId="6465E1FA" w14:textId="77777777" w:rsidR="007E7916" w:rsidRDefault="004A0C2D" w:rsidP="004E6C56">
      <w:pPr>
        <w:pStyle w:val="NoSpacing"/>
        <w:numPr>
          <w:ilvl w:val="0"/>
          <w:numId w:val="32"/>
        </w:numPr>
        <w:spacing w:before="120" w:line="276" w:lineRule="auto"/>
        <w:ind w:left="357" w:hanging="357"/>
        <w:contextualSpacing/>
        <w:jc w:val="both"/>
      </w:pPr>
      <w:r w:rsidRPr="005839A6">
        <w:t>Increas</w:t>
      </w:r>
      <w:r w:rsidR="00875613">
        <w:t>ing</w:t>
      </w:r>
      <w:r w:rsidRPr="005839A6">
        <w:t xml:space="preserve"> Commonwealth Rent Assistance by 30%</w:t>
      </w:r>
      <w:r w:rsidR="007E7916">
        <w:t xml:space="preserve"> for people with disability</w:t>
      </w:r>
      <w:r w:rsidR="00202833">
        <w:t>; and</w:t>
      </w:r>
      <w:r w:rsidR="007E7916">
        <w:t xml:space="preserve"> </w:t>
      </w:r>
    </w:p>
    <w:p w14:paraId="339B2FE7" w14:textId="360BCE6F" w:rsidR="004A0C2D" w:rsidRPr="005839A6" w:rsidRDefault="004A0C2D" w:rsidP="004E6C56">
      <w:pPr>
        <w:pStyle w:val="NoSpacing"/>
        <w:numPr>
          <w:ilvl w:val="0"/>
          <w:numId w:val="32"/>
        </w:numPr>
        <w:spacing w:before="120" w:line="276" w:lineRule="auto"/>
        <w:ind w:left="357" w:hanging="357"/>
        <w:contextualSpacing/>
        <w:jc w:val="both"/>
      </w:pPr>
      <w:r w:rsidRPr="005839A6">
        <w:t>Undertak</w:t>
      </w:r>
      <w:r w:rsidR="001C0706">
        <w:t>ing</w:t>
      </w:r>
      <w:r w:rsidRPr="005839A6">
        <w:t xml:space="preserve"> a study into the national expansion of existing </w:t>
      </w:r>
      <w:r w:rsidR="00202833">
        <w:t>s</w:t>
      </w:r>
      <w:r w:rsidRPr="005839A6">
        <w:t xml:space="preserve">tate home purchase assistance programs to assist people with disability, including shared-equity opportunities with families, to enter and maintain home ownership. </w:t>
      </w:r>
    </w:p>
    <w:p w14:paraId="638982F6" w14:textId="77777777" w:rsidR="004A0C2D" w:rsidRPr="00043CD3" w:rsidRDefault="004A0C2D" w:rsidP="00CF6AE2">
      <w:pPr>
        <w:spacing w:before="0" w:line="240" w:lineRule="auto"/>
        <w:jc w:val="both"/>
      </w:pPr>
    </w:p>
    <w:p w14:paraId="2D72139A" w14:textId="77777777" w:rsidR="00F46566" w:rsidRDefault="00F46566">
      <w:pPr>
        <w:pBdr>
          <w:top w:val="none" w:sz="0" w:space="0" w:color="auto"/>
          <w:left w:val="none" w:sz="0" w:space="0" w:color="auto"/>
          <w:bottom w:val="none" w:sz="0" w:space="0" w:color="auto"/>
          <w:right w:val="none" w:sz="0" w:space="0" w:color="auto"/>
          <w:between w:val="none" w:sz="0" w:space="0" w:color="auto"/>
        </w:pBdr>
        <w:spacing w:before="0" w:after="160" w:line="259" w:lineRule="auto"/>
      </w:pPr>
      <w:r>
        <w:br w:type="page"/>
      </w:r>
    </w:p>
    <w:p w14:paraId="0C66B492" w14:textId="39AC95AF" w:rsidR="00473DAF" w:rsidRDefault="004A0C2D" w:rsidP="005D5562">
      <w:pPr>
        <w:pStyle w:val="Heading3"/>
        <w:spacing w:before="0" w:line="240" w:lineRule="auto"/>
        <w:jc w:val="both"/>
        <w:rPr>
          <w:b/>
        </w:rPr>
      </w:pPr>
      <w:bookmarkStart w:id="32" w:name="_Toc5631151"/>
      <w:bookmarkStart w:id="33" w:name="_Toc5631181"/>
      <w:bookmarkStart w:id="34" w:name="_Toc5631298"/>
      <w:bookmarkStart w:id="35" w:name="_Toc5631763"/>
      <w:bookmarkStart w:id="36" w:name="_Toc6236086"/>
      <w:r w:rsidRPr="006B2C98">
        <w:rPr>
          <w:rStyle w:val="Heading2Char"/>
          <w:b/>
        </w:rPr>
        <w:lastRenderedPageBreak/>
        <w:t>Priority</w:t>
      </w:r>
      <w:r w:rsidR="00F46566" w:rsidRPr="006B2C98">
        <w:rPr>
          <w:rStyle w:val="Heading2Char"/>
          <w:b/>
        </w:rPr>
        <w:t xml:space="preserve"> </w:t>
      </w:r>
      <w:r w:rsidR="00DB01B9">
        <w:rPr>
          <w:rStyle w:val="Heading2Char"/>
          <w:b/>
        </w:rPr>
        <w:t>4 - Transport</w:t>
      </w:r>
      <w:bookmarkEnd w:id="32"/>
      <w:bookmarkEnd w:id="33"/>
      <w:bookmarkEnd w:id="34"/>
      <w:bookmarkEnd w:id="35"/>
      <w:bookmarkEnd w:id="36"/>
      <w:r w:rsidR="00F46566" w:rsidRPr="006B2C98">
        <w:rPr>
          <w:rStyle w:val="Heading2Char"/>
          <w:b/>
        </w:rPr>
        <w:t xml:space="preserve"> </w:t>
      </w:r>
      <w:bookmarkStart w:id="37" w:name="_Toc5631153"/>
    </w:p>
    <w:p w14:paraId="275B952D" w14:textId="77777777" w:rsidR="006577D8" w:rsidRDefault="006577D8" w:rsidP="005D5562">
      <w:pPr>
        <w:pStyle w:val="Heading3"/>
        <w:spacing w:before="0" w:line="240" w:lineRule="auto"/>
        <w:jc w:val="both"/>
      </w:pPr>
    </w:p>
    <w:p w14:paraId="5B29EC4D" w14:textId="4A8D3CA0" w:rsidR="004A0C2D" w:rsidRDefault="00F46566" w:rsidP="005D5562">
      <w:pPr>
        <w:pStyle w:val="Heading3"/>
        <w:spacing w:before="0" w:line="240" w:lineRule="auto"/>
        <w:jc w:val="both"/>
      </w:pPr>
      <w:r>
        <w:t>Context</w:t>
      </w:r>
      <w:bookmarkEnd w:id="37"/>
    </w:p>
    <w:p w14:paraId="725B26B4" w14:textId="77777777" w:rsidR="00937F15" w:rsidRDefault="00C77E51" w:rsidP="00F16CFC">
      <w:pPr>
        <w:jc w:val="both"/>
      </w:pPr>
      <w:r w:rsidRPr="00C77E51">
        <w:t>Safe, accessible and affordable public and private transport options are essential for people with disability</w:t>
      </w:r>
      <w:r w:rsidR="00473DAF">
        <w:t xml:space="preserve">.  People </w:t>
      </w:r>
      <w:r w:rsidRPr="00C77E51">
        <w:t>need access to a range of transport options, subsidies and programs, which have the underlying intent of providing access to the same level of transport options the rest of the community experiences.</w:t>
      </w:r>
    </w:p>
    <w:p w14:paraId="2DE8B456" w14:textId="77777777" w:rsidR="00937F15" w:rsidRDefault="00937F15" w:rsidP="00F16CFC">
      <w:pPr>
        <w:jc w:val="both"/>
        <w:rPr>
          <w:sz w:val="12"/>
          <w:szCs w:val="12"/>
        </w:rPr>
      </w:pPr>
      <w:r>
        <w:t>Accessible transport remains a C</w:t>
      </w:r>
      <w:r w:rsidRPr="005839A6">
        <w:t>ommonwealth, State and Local Government responsibility and a right of all people enshrined in international conventions, the National Disability Strategy, and legislative frameworks.</w:t>
      </w:r>
      <w:r w:rsidRPr="005839A6">
        <w:rPr>
          <w:sz w:val="12"/>
          <w:szCs w:val="12"/>
        </w:rPr>
        <w:t xml:space="preserve"> </w:t>
      </w:r>
    </w:p>
    <w:p w14:paraId="535B2547" w14:textId="3D43AE09" w:rsidR="00073D0B" w:rsidRDefault="00073D0B" w:rsidP="00F16CFC">
      <w:pPr>
        <w:jc w:val="both"/>
      </w:pPr>
      <w:r>
        <w:t xml:space="preserve">Members with </w:t>
      </w:r>
      <w:r w:rsidRPr="00073D0B">
        <w:t xml:space="preserve">disability have continued to raise the impacts and challenges they </w:t>
      </w:r>
      <w:r w:rsidR="00B02191">
        <w:t xml:space="preserve">experience in securing </w:t>
      </w:r>
      <w:r w:rsidRPr="00073D0B">
        <w:t xml:space="preserve">accessing </w:t>
      </w:r>
      <w:r w:rsidR="00B02191">
        <w:t xml:space="preserve">affordable, accessible </w:t>
      </w:r>
      <w:r w:rsidRPr="00073D0B">
        <w:t>transport</w:t>
      </w:r>
      <w:r w:rsidR="00B02191">
        <w:t xml:space="preserve">. In </w:t>
      </w:r>
      <w:r w:rsidRPr="00073D0B">
        <w:t xml:space="preserve">particular, </w:t>
      </w:r>
      <w:r w:rsidR="00B02191">
        <w:t xml:space="preserve">unresolved </w:t>
      </w:r>
      <w:r w:rsidRPr="00073D0B">
        <w:t>NDIS</w:t>
      </w:r>
      <w:r w:rsidR="00B02191">
        <w:t>/mainstream</w:t>
      </w:r>
      <w:r w:rsidRPr="00073D0B">
        <w:t xml:space="preserve"> interface </w:t>
      </w:r>
      <w:r w:rsidR="00B02191">
        <w:t xml:space="preserve">issues in relation to the </w:t>
      </w:r>
      <w:r w:rsidRPr="00073D0B">
        <w:t>T</w:t>
      </w:r>
      <w:r w:rsidR="001C0706">
        <w:t>SS</w:t>
      </w:r>
      <w:r w:rsidRPr="00073D0B">
        <w:t xml:space="preserve">and </w:t>
      </w:r>
      <w:r w:rsidR="00B02191">
        <w:t>c</w:t>
      </w:r>
      <w:r w:rsidRPr="00073D0B">
        <w:t>ommunity transport</w:t>
      </w:r>
      <w:r w:rsidR="00B02191">
        <w:t xml:space="preserve"> remain an issue of frustration and concern for members and supporters </w:t>
      </w:r>
      <w:r w:rsidRPr="00073D0B">
        <w:t xml:space="preserve">. </w:t>
      </w:r>
    </w:p>
    <w:p w14:paraId="6AB1ED0E" w14:textId="77777777" w:rsidR="00C77E51" w:rsidRPr="00C77E51" w:rsidRDefault="00C77E51" w:rsidP="00F16CFC">
      <w:pPr>
        <w:pBdr>
          <w:top w:val="none" w:sz="0" w:space="0" w:color="auto"/>
          <w:left w:val="none" w:sz="0" w:space="0" w:color="auto"/>
          <w:bottom w:val="none" w:sz="0" w:space="0" w:color="auto"/>
          <w:right w:val="none" w:sz="0" w:space="0" w:color="auto"/>
          <w:between w:val="none" w:sz="0" w:space="0" w:color="auto"/>
        </w:pBdr>
        <w:jc w:val="both"/>
        <w:rPr>
          <w:rFonts w:eastAsia="Times New Roman"/>
          <w:szCs w:val="24"/>
          <w:lang w:val="en-US" w:eastAsia="en-US"/>
        </w:rPr>
      </w:pPr>
      <w:r w:rsidRPr="00C77E51">
        <w:rPr>
          <w:rFonts w:eastAsia="Times New Roman"/>
          <w:szCs w:val="24"/>
          <w:lang w:val="en-US" w:eastAsia="en-US"/>
        </w:rPr>
        <w:t>Aviation is a Commonwealth responsibility</w:t>
      </w:r>
      <w:r w:rsidR="00521FE2">
        <w:rPr>
          <w:rFonts w:eastAsia="Times New Roman"/>
          <w:szCs w:val="24"/>
          <w:lang w:val="en-US" w:eastAsia="en-US"/>
        </w:rPr>
        <w:t xml:space="preserve">.  </w:t>
      </w:r>
      <w:r w:rsidRPr="00C77E51">
        <w:rPr>
          <w:rFonts w:eastAsia="Times New Roman"/>
          <w:szCs w:val="24"/>
          <w:lang w:val="en-US" w:eastAsia="en-US"/>
        </w:rPr>
        <w:t>QDN member feedback reinforces the increased challenges people with disability are experiencing if they require ‘special assistance’ to travel.  People with disability are willing to meet known compliance requirements imposed by airlines</w:t>
      </w:r>
      <w:r w:rsidR="00521FE2">
        <w:rPr>
          <w:rFonts w:eastAsia="Times New Roman"/>
          <w:szCs w:val="24"/>
          <w:lang w:val="en-US" w:eastAsia="en-US"/>
        </w:rPr>
        <w:t xml:space="preserve"> </w:t>
      </w:r>
      <w:r w:rsidRPr="00C77E51">
        <w:rPr>
          <w:rFonts w:eastAsia="Times New Roman"/>
          <w:szCs w:val="24"/>
          <w:lang w:val="en-US" w:eastAsia="en-US"/>
        </w:rPr>
        <w:t>however</w:t>
      </w:r>
      <w:r w:rsidR="00C57925">
        <w:rPr>
          <w:rFonts w:eastAsia="Times New Roman"/>
          <w:szCs w:val="24"/>
          <w:lang w:val="en-US" w:eastAsia="en-US"/>
        </w:rPr>
        <w:t>,</w:t>
      </w:r>
      <w:r w:rsidRPr="00C77E51">
        <w:rPr>
          <w:rFonts w:eastAsia="Times New Roman"/>
          <w:szCs w:val="24"/>
          <w:lang w:val="en-US" w:eastAsia="en-US"/>
        </w:rPr>
        <w:t xml:space="preserve"> QDN </w:t>
      </w:r>
      <w:r w:rsidR="00521FE2">
        <w:rPr>
          <w:rFonts w:eastAsia="Times New Roman"/>
          <w:szCs w:val="24"/>
          <w:lang w:val="en-US" w:eastAsia="en-US"/>
        </w:rPr>
        <w:t>believes g</w:t>
      </w:r>
      <w:r w:rsidRPr="00C77E51">
        <w:rPr>
          <w:rFonts w:eastAsia="Times New Roman"/>
          <w:szCs w:val="24"/>
          <w:lang w:val="en-US" w:eastAsia="en-US"/>
        </w:rPr>
        <w:t xml:space="preserve">overnment, aviation authorities and airlines </w:t>
      </w:r>
      <w:r w:rsidR="00521FE2">
        <w:rPr>
          <w:rFonts w:eastAsia="Times New Roman"/>
          <w:szCs w:val="24"/>
          <w:lang w:val="en-US" w:eastAsia="en-US"/>
        </w:rPr>
        <w:t xml:space="preserve">need </w:t>
      </w:r>
      <w:r w:rsidRPr="00C77E51">
        <w:rPr>
          <w:rFonts w:eastAsia="Times New Roman"/>
          <w:szCs w:val="24"/>
          <w:lang w:val="en-US" w:eastAsia="en-US"/>
        </w:rPr>
        <w:t xml:space="preserve">to clearly articulate compliance/regulations in easy to understand language and multiple accessible formats.  </w:t>
      </w:r>
      <w:r w:rsidR="00521FE2">
        <w:rPr>
          <w:rFonts w:eastAsia="Times New Roman"/>
          <w:szCs w:val="24"/>
          <w:lang w:val="en-US" w:eastAsia="en-US"/>
        </w:rPr>
        <w:t>D</w:t>
      </w:r>
      <w:r w:rsidRPr="00C77E51">
        <w:rPr>
          <w:rFonts w:eastAsia="Times New Roman"/>
          <w:szCs w:val="24"/>
          <w:lang w:val="en-US" w:eastAsia="en-US"/>
        </w:rPr>
        <w:t xml:space="preserve">isability awareness training </w:t>
      </w:r>
      <w:r w:rsidR="00521FE2">
        <w:rPr>
          <w:rFonts w:eastAsia="Times New Roman"/>
          <w:szCs w:val="24"/>
          <w:lang w:val="en-US" w:eastAsia="en-US"/>
        </w:rPr>
        <w:t xml:space="preserve">should be mandatory </w:t>
      </w:r>
      <w:r w:rsidRPr="00C77E51">
        <w:rPr>
          <w:rFonts w:eastAsia="Times New Roman"/>
          <w:szCs w:val="24"/>
          <w:lang w:val="en-US" w:eastAsia="en-US"/>
        </w:rPr>
        <w:t>for all airline employees</w:t>
      </w:r>
      <w:r w:rsidR="00521FE2">
        <w:rPr>
          <w:rFonts w:eastAsia="Times New Roman"/>
          <w:szCs w:val="24"/>
          <w:lang w:val="en-US" w:eastAsia="en-US"/>
        </w:rPr>
        <w:t xml:space="preserve">. </w:t>
      </w:r>
    </w:p>
    <w:p w14:paraId="46E0313D" w14:textId="77777777" w:rsidR="00C77E51" w:rsidRDefault="00C77E51" w:rsidP="00F16CFC">
      <w:pPr>
        <w:jc w:val="both"/>
      </w:pPr>
      <w:r w:rsidRPr="00937F15">
        <w:t xml:space="preserve">QDN </w:t>
      </w:r>
      <w:r w:rsidRPr="00C77E51">
        <w:t xml:space="preserve">made a number of recommendations in the </w:t>
      </w:r>
      <w:hyperlink r:id="rId25" w:history="1">
        <w:r w:rsidRPr="00937F15">
          <w:rPr>
            <w:rStyle w:val="Hyperlink"/>
          </w:rPr>
          <w:t>Third Review of the Disability Standards for Accessible Public Transport (DSAPT)</w:t>
        </w:r>
      </w:hyperlink>
      <w:r w:rsidRPr="00C77E51">
        <w:t xml:space="preserve"> recently. QDN calls upon a future Australian government to implement these recommendations</w:t>
      </w:r>
      <w:r w:rsidR="00937F15">
        <w:t>.</w:t>
      </w:r>
    </w:p>
    <w:p w14:paraId="21CDD45E" w14:textId="77777777" w:rsidR="004E6C56" w:rsidRDefault="004E6C56" w:rsidP="00937F15">
      <w:pPr>
        <w:pStyle w:val="Heading3"/>
        <w:spacing w:before="0" w:line="240" w:lineRule="auto"/>
        <w:jc w:val="both"/>
        <w:rPr>
          <w:rFonts w:eastAsia="MS Mincho"/>
          <w:lang w:val="en-AU" w:eastAsia="en-US"/>
        </w:rPr>
      </w:pPr>
      <w:bookmarkStart w:id="38" w:name="_Toc5631154"/>
    </w:p>
    <w:p w14:paraId="7058E081" w14:textId="77777777" w:rsidR="00937F15" w:rsidRDefault="004A0C2D" w:rsidP="00937F15">
      <w:pPr>
        <w:pStyle w:val="Heading3"/>
        <w:spacing w:before="0" w:line="240" w:lineRule="auto"/>
        <w:jc w:val="both"/>
        <w:rPr>
          <w:rFonts w:eastAsia="MS Mincho"/>
          <w:lang w:val="en-AU" w:eastAsia="en-US"/>
        </w:rPr>
      </w:pPr>
      <w:r w:rsidRPr="009005B5">
        <w:rPr>
          <w:rFonts w:eastAsia="MS Mincho"/>
          <w:lang w:val="en-AU" w:eastAsia="en-US"/>
        </w:rPr>
        <w:t xml:space="preserve">QDN calls </w:t>
      </w:r>
      <w:r w:rsidR="00937F15">
        <w:rPr>
          <w:rFonts w:eastAsia="MS Mincho"/>
          <w:lang w:val="en-AU" w:eastAsia="en-US"/>
        </w:rPr>
        <w:t>for</w:t>
      </w:r>
      <w:bookmarkEnd w:id="38"/>
      <w:r w:rsidR="00875613">
        <w:rPr>
          <w:rFonts w:eastAsia="MS Mincho"/>
          <w:lang w:val="en-AU" w:eastAsia="en-US"/>
        </w:rPr>
        <w:t xml:space="preserve"> </w:t>
      </w:r>
      <w:r w:rsidR="0034783F">
        <w:rPr>
          <w:rFonts w:eastAsia="MS Mincho"/>
          <w:lang w:val="en-AU" w:eastAsia="en-US"/>
        </w:rPr>
        <w:t>candidates</w:t>
      </w:r>
      <w:r w:rsidR="00875613">
        <w:rPr>
          <w:rFonts w:eastAsia="MS Mincho"/>
          <w:lang w:val="en-AU" w:eastAsia="en-US"/>
        </w:rPr>
        <w:t xml:space="preserve"> to commit to:</w:t>
      </w:r>
    </w:p>
    <w:p w14:paraId="43011627" w14:textId="77777777" w:rsidR="006577D8" w:rsidRDefault="00875613" w:rsidP="006577D8">
      <w:pPr>
        <w:pStyle w:val="ListParagraph"/>
        <w:numPr>
          <w:ilvl w:val="0"/>
          <w:numId w:val="22"/>
        </w:numPr>
        <w:spacing w:before="0" w:line="240" w:lineRule="auto"/>
        <w:jc w:val="both"/>
      </w:pPr>
      <w:r>
        <w:t>I</w:t>
      </w:r>
      <w:r w:rsidR="004A0C2D" w:rsidRPr="005839A6">
        <w:t xml:space="preserve">mplementing standards in DSAPT that require accessible public consultation </w:t>
      </w:r>
      <w:r w:rsidR="00FD6668">
        <w:t xml:space="preserve">with </w:t>
      </w:r>
      <w:r w:rsidR="004A0C2D" w:rsidRPr="005839A6">
        <w:t xml:space="preserve"> people with disability and their supporters before the procurement of any public transpor</w:t>
      </w:r>
      <w:r w:rsidR="00937F15">
        <w:t>t;</w:t>
      </w:r>
      <w:r w:rsidR="004A0C2D" w:rsidRPr="005839A6">
        <w:t xml:space="preserve"> </w:t>
      </w:r>
    </w:p>
    <w:p w14:paraId="447E1BF5" w14:textId="77777777" w:rsidR="006577D8" w:rsidRDefault="006577D8" w:rsidP="006577D8">
      <w:pPr>
        <w:pStyle w:val="ListParagraph"/>
        <w:spacing w:before="0" w:line="240" w:lineRule="auto"/>
        <w:ind w:left="360"/>
        <w:jc w:val="both"/>
      </w:pPr>
    </w:p>
    <w:p w14:paraId="330D5C19" w14:textId="7D1A8848" w:rsidR="00937F15" w:rsidRDefault="00875613" w:rsidP="006577D8">
      <w:pPr>
        <w:pStyle w:val="ListParagraph"/>
        <w:numPr>
          <w:ilvl w:val="0"/>
          <w:numId w:val="22"/>
        </w:numPr>
        <w:spacing w:before="0" w:line="240" w:lineRule="auto"/>
        <w:jc w:val="both"/>
      </w:pPr>
      <w:r>
        <w:t xml:space="preserve">Leading </w:t>
      </w:r>
      <w:r w:rsidR="0034783F">
        <w:t>actions to u</w:t>
      </w:r>
      <w:r w:rsidR="00937F15" w:rsidRPr="00937F15">
        <w:t>phold Australia’s obligations, enshrined in various U</w:t>
      </w:r>
      <w:r w:rsidR="00FC6530">
        <w:t xml:space="preserve">nited </w:t>
      </w:r>
      <w:r w:rsidR="00937F15" w:rsidRPr="00937F15">
        <w:t>N</w:t>
      </w:r>
      <w:r w:rsidR="00FC6530">
        <w:t>ations (UN)</w:t>
      </w:r>
      <w:r w:rsidR="00937F15" w:rsidRPr="00937F15">
        <w:t xml:space="preserve"> treaties and protocols to which Australia is a party in regards to the provision of safe, accessible public transport. This is the responsibility of local, state and federal governments and is actioned through </w:t>
      </w:r>
      <w:r w:rsidR="005242A2">
        <w:t xml:space="preserve">legislation, </w:t>
      </w:r>
      <w:r w:rsidR="00937F15" w:rsidRPr="00937F15">
        <w:t>policies, action plans and position statements which set clear targets</w:t>
      </w:r>
      <w:r w:rsidR="00FD6668">
        <w:t>;</w:t>
      </w:r>
      <w:r w:rsidR="00937F15" w:rsidRPr="00937F15">
        <w:t xml:space="preserve"> </w:t>
      </w:r>
    </w:p>
    <w:p w14:paraId="2936C595" w14:textId="77777777" w:rsidR="006577D8" w:rsidRDefault="006577D8" w:rsidP="006577D8">
      <w:pPr>
        <w:pStyle w:val="ListParagraph"/>
      </w:pPr>
    </w:p>
    <w:p w14:paraId="5E6285B7" w14:textId="77777777" w:rsidR="006577D8" w:rsidRPr="006577D8" w:rsidRDefault="0034783F" w:rsidP="006577D8">
      <w:pPr>
        <w:pStyle w:val="ListParagraph"/>
        <w:numPr>
          <w:ilvl w:val="0"/>
          <w:numId w:val="22"/>
        </w:numPr>
      </w:pPr>
      <w:r w:rsidRPr="006577D8">
        <w:rPr>
          <w:rFonts w:eastAsia="Times New Roman"/>
          <w:szCs w:val="24"/>
          <w:lang w:val="en-US" w:eastAsia="en-US"/>
        </w:rPr>
        <w:t>Development of clearly articulated compliance/regulations in easy to understand language and multiple accessible formats by t</w:t>
      </w:r>
      <w:r w:rsidR="00937F15" w:rsidRPr="006577D8">
        <w:rPr>
          <w:rFonts w:eastAsia="Times New Roman"/>
          <w:szCs w:val="24"/>
          <w:lang w:val="en-US" w:eastAsia="en-US"/>
        </w:rPr>
        <w:t>he Australian Government, aviation authorities and airlines</w:t>
      </w:r>
      <w:r w:rsidR="00FD6668" w:rsidRPr="006577D8">
        <w:rPr>
          <w:rFonts w:eastAsia="Times New Roman"/>
          <w:szCs w:val="24"/>
          <w:lang w:val="en-US" w:eastAsia="en-US"/>
        </w:rPr>
        <w:t xml:space="preserve">; </w:t>
      </w:r>
    </w:p>
    <w:p w14:paraId="4C9488FB" w14:textId="77777777" w:rsidR="006577D8" w:rsidRPr="006577D8" w:rsidRDefault="006577D8" w:rsidP="006577D8">
      <w:pPr>
        <w:pStyle w:val="ListParagraph"/>
        <w:rPr>
          <w:rFonts w:eastAsia="Times New Roman"/>
          <w:szCs w:val="24"/>
          <w:lang w:val="en-US" w:eastAsia="en-US"/>
        </w:rPr>
      </w:pPr>
    </w:p>
    <w:p w14:paraId="7A706316" w14:textId="47D5C433" w:rsidR="00937F15" w:rsidRPr="006577D8" w:rsidRDefault="00937F15" w:rsidP="006577D8">
      <w:pPr>
        <w:pStyle w:val="ListParagraph"/>
        <w:numPr>
          <w:ilvl w:val="0"/>
          <w:numId w:val="22"/>
        </w:numPr>
      </w:pPr>
      <w:r w:rsidRPr="006577D8">
        <w:rPr>
          <w:rFonts w:eastAsia="Times New Roman"/>
          <w:szCs w:val="24"/>
          <w:lang w:val="en-US" w:eastAsia="en-US"/>
        </w:rPr>
        <w:lastRenderedPageBreak/>
        <w:t>Provi</w:t>
      </w:r>
      <w:r w:rsidR="0034783F" w:rsidRPr="006577D8">
        <w:rPr>
          <w:rFonts w:eastAsia="Times New Roman"/>
          <w:szCs w:val="24"/>
          <w:lang w:val="en-US" w:eastAsia="en-US"/>
        </w:rPr>
        <w:t xml:space="preserve">sion of </w:t>
      </w:r>
      <w:r w:rsidRPr="006577D8">
        <w:rPr>
          <w:rFonts w:eastAsia="Times New Roman"/>
          <w:szCs w:val="24"/>
          <w:lang w:val="en-US" w:eastAsia="en-US"/>
        </w:rPr>
        <w:t>mandatory disability awareness training for airline employees and requirements for adequate customer data management so there is some awareness of a passenger’s equipment and individual requirements</w:t>
      </w:r>
      <w:r w:rsidR="006E0521" w:rsidRPr="006577D8">
        <w:rPr>
          <w:rFonts w:eastAsia="Times New Roman"/>
          <w:szCs w:val="24"/>
          <w:lang w:val="en-US" w:eastAsia="en-US"/>
        </w:rPr>
        <w:t xml:space="preserve">; and </w:t>
      </w:r>
    </w:p>
    <w:p w14:paraId="7E1F90CA" w14:textId="77777777" w:rsidR="006577D8" w:rsidRDefault="006577D8" w:rsidP="006577D8">
      <w:pPr>
        <w:pStyle w:val="ListParagraph"/>
      </w:pPr>
    </w:p>
    <w:p w14:paraId="44964EF5" w14:textId="69A27EBE" w:rsidR="006E0521" w:rsidRDefault="006E0521" w:rsidP="006E0521">
      <w:pPr>
        <w:pStyle w:val="ListParagraph"/>
        <w:numPr>
          <w:ilvl w:val="0"/>
          <w:numId w:val="22"/>
        </w:numPr>
      </w:pPr>
      <w:r w:rsidRPr="006E0521">
        <w:t>Urgent resolution of NDIS/</w:t>
      </w:r>
      <w:r>
        <w:t xml:space="preserve">transport mainstream issues </w:t>
      </w:r>
      <w:r w:rsidRPr="006E0521">
        <w:t xml:space="preserve">around essential </w:t>
      </w:r>
      <w:r>
        <w:t xml:space="preserve">transport </w:t>
      </w:r>
      <w:r w:rsidRPr="006E0521">
        <w:t xml:space="preserve">services such as </w:t>
      </w:r>
      <w:r>
        <w:t>the T</w:t>
      </w:r>
      <w:r w:rsidR="00FC6530">
        <w:t>SS</w:t>
      </w:r>
      <w:r w:rsidR="00DB01B9">
        <w:t xml:space="preserve"> </w:t>
      </w:r>
      <w:r>
        <w:t>and community transport</w:t>
      </w:r>
      <w:r w:rsidR="00FC6530">
        <w:t>,</w:t>
      </w:r>
      <w:r>
        <w:t xml:space="preserve"> </w:t>
      </w:r>
      <w:r w:rsidRPr="006E0521">
        <w:t xml:space="preserve">to ensure people with disability receive these essential services in an integrated way that meets their life needs. </w:t>
      </w:r>
    </w:p>
    <w:p w14:paraId="0C4FFE04" w14:textId="77777777" w:rsidR="006577D8" w:rsidRDefault="006577D8" w:rsidP="006577D8">
      <w:pPr>
        <w:pStyle w:val="ListParagraph"/>
      </w:pPr>
    </w:p>
    <w:p w14:paraId="61CDE589" w14:textId="29CB136D" w:rsidR="006577D8" w:rsidRDefault="006577D8">
      <w:pPr>
        <w:pBdr>
          <w:top w:val="none" w:sz="0" w:space="0" w:color="auto"/>
          <w:left w:val="none" w:sz="0" w:space="0" w:color="auto"/>
          <w:bottom w:val="none" w:sz="0" w:space="0" w:color="auto"/>
          <w:right w:val="none" w:sz="0" w:space="0" w:color="auto"/>
          <w:between w:val="none" w:sz="0" w:space="0" w:color="auto"/>
        </w:pBdr>
        <w:spacing w:before="0" w:after="160" w:line="259" w:lineRule="auto"/>
      </w:pPr>
      <w:r>
        <w:br w:type="page"/>
      </w:r>
    </w:p>
    <w:p w14:paraId="555FF288" w14:textId="77777777" w:rsidR="004A0C2D" w:rsidRDefault="004A0C2D" w:rsidP="004A0C2D">
      <w:pPr>
        <w:spacing w:before="0" w:line="240" w:lineRule="auto"/>
        <w:jc w:val="both"/>
        <w:rPr>
          <w:sz w:val="12"/>
          <w:szCs w:val="12"/>
          <w:lang w:val="en-AU" w:eastAsia="en-US"/>
        </w:rPr>
      </w:pPr>
      <w:bookmarkStart w:id="39" w:name="_Toc5631159"/>
      <w:bookmarkStart w:id="40" w:name="_Toc5631183"/>
      <w:bookmarkStart w:id="41" w:name="_Toc5631300"/>
      <w:bookmarkStart w:id="42" w:name="_Toc5631765"/>
    </w:p>
    <w:p w14:paraId="5CE829F7" w14:textId="77777777" w:rsidR="001862F3" w:rsidRPr="00043CD3" w:rsidRDefault="001862F3" w:rsidP="004A0C2D">
      <w:pPr>
        <w:spacing w:before="0" w:line="240" w:lineRule="auto"/>
        <w:jc w:val="both"/>
        <w:rPr>
          <w:sz w:val="12"/>
          <w:szCs w:val="12"/>
          <w:lang w:val="en-AU" w:eastAsia="en-US"/>
        </w:rPr>
      </w:pPr>
    </w:p>
    <w:p w14:paraId="519ECB69" w14:textId="7459ABCE" w:rsidR="006F09CA" w:rsidRPr="009D6136" w:rsidRDefault="006F09CA" w:rsidP="009D6136">
      <w:pPr>
        <w:pStyle w:val="Heading2"/>
        <w:rPr>
          <w:b/>
        </w:rPr>
      </w:pPr>
      <w:bookmarkStart w:id="43" w:name="_Toc5631145"/>
      <w:bookmarkStart w:id="44" w:name="_Toc6236087"/>
      <w:r w:rsidRPr="009D6136">
        <w:rPr>
          <w:b/>
        </w:rPr>
        <w:t xml:space="preserve">Priority </w:t>
      </w:r>
      <w:r w:rsidR="007B5155" w:rsidRPr="009D6136">
        <w:rPr>
          <w:b/>
        </w:rPr>
        <w:t>5</w:t>
      </w:r>
      <w:r w:rsidRPr="009D6136">
        <w:rPr>
          <w:b/>
        </w:rPr>
        <w:t xml:space="preserve"> - Health</w:t>
      </w:r>
      <w:bookmarkEnd w:id="44"/>
    </w:p>
    <w:p w14:paraId="53EE5D73" w14:textId="77777777" w:rsidR="006F09CA" w:rsidRPr="00F16CFC" w:rsidRDefault="006F09CA" w:rsidP="004A0C2D">
      <w:pPr>
        <w:pStyle w:val="Heading3"/>
        <w:spacing w:before="0" w:line="240" w:lineRule="auto"/>
        <w:jc w:val="both"/>
        <w:rPr>
          <w:sz w:val="24"/>
        </w:rPr>
      </w:pPr>
    </w:p>
    <w:p w14:paraId="7A83EA9A" w14:textId="77777777" w:rsidR="004A0C2D" w:rsidRDefault="00641449" w:rsidP="004A0C2D">
      <w:pPr>
        <w:pStyle w:val="Heading3"/>
        <w:spacing w:before="0" w:line="240" w:lineRule="auto"/>
        <w:jc w:val="both"/>
      </w:pPr>
      <w:r>
        <w:t xml:space="preserve">Context </w:t>
      </w:r>
      <w:bookmarkEnd w:id="43"/>
    </w:p>
    <w:p w14:paraId="31CC1061" w14:textId="77777777" w:rsidR="00C57925" w:rsidRPr="00C57925" w:rsidRDefault="00C57925" w:rsidP="00F16CFC">
      <w:pPr>
        <w:spacing w:before="240"/>
        <w:jc w:val="both"/>
      </w:pPr>
      <w:r w:rsidRPr="00C57925">
        <w:t>People with disability often have more complex health needs and a higher mortality rate, and face many barriers accessing appropriate health care, and a narrower margin of health, than the general population. QDN members highlight the many challenges they experience in both accessing health care and being an informed, participating consumer of health services.</w:t>
      </w:r>
    </w:p>
    <w:p w14:paraId="7C9D2B95" w14:textId="195F9F34" w:rsidR="00C57925" w:rsidRPr="00C57925" w:rsidRDefault="00C57925" w:rsidP="00F16CFC">
      <w:pPr>
        <w:jc w:val="both"/>
      </w:pPr>
      <w:r w:rsidRPr="00C57925">
        <w:t xml:space="preserve">QDN members have informed us of issues relating to </w:t>
      </w:r>
      <w:r>
        <w:t>health including</w:t>
      </w:r>
      <w:r w:rsidR="00FC6530">
        <w:t>:</w:t>
      </w:r>
      <w:r>
        <w:t xml:space="preserve"> u</w:t>
      </w:r>
      <w:r w:rsidRPr="00C57925">
        <w:t xml:space="preserve">naffordable healthcare, </w:t>
      </w:r>
      <w:r>
        <w:t>c</w:t>
      </w:r>
      <w:r w:rsidRPr="00C57925">
        <w:t xml:space="preserve">omplex health needs, </w:t>
      </w:r>
      <w:r>
        <w:t>a h</w:t>
      </w:r>
      <w:r w:rsidRPr="00C57925">
        <w:t xml:space="preserve">ealth workforce with </w:t>
      </w:r>
      <w:r>
        <w:t xml:space="preserve">perceived </w:t>
      </w:r>
      <w:r w:rsidRPr="00C57925">
        <w:t>limited knowledge of disability</w:t>
      </w:r>
      <w:r>
        <w:t xml:space="preserve"> and i</w:t>
      </w:r>
      <w:r w:rsidRPr="00C57925">
        <w:t>nadequate systems</w:t>
      </w:r>
      <w:r>
        <w:t>, i</w:t>
      </w:r>
      <w:r w:rsidRPr="00C57925">
        <w:t>naccessible health services</w:t>
      </w:r>
      <w:r>
        <w:t xml:space="preserve"> and l</w:t>
      </w:r>
      <w:r w:rsidRPr="00C57925">
        <w:t xml:space="preserve">imited </w:t>
      </w:r>
      <w:r w:rsidR="004C0835">
        <w:t xml:space="preserve">personal </w:t>
      </w:r>
      <w:r w:rsidRPr="00C57925">
        <w:t>knowledge of how to access and navigate the health system</w:t>
      </w:r>
      <w:r>
        <w:t>.</w:t>
      </w:r>
    </w:p>
    <w:p w14:paraId="349DE4DF" w14:textId="21A569D6" w:rsidR="00C22010" w:rsidRDefault="00C22010" w:rsidP="00F16CFC">
      <w:pPr>
        <w:jc w:val="both"/>
      </w:pPr>
      <w:r>
        <w:t>People with intellectual disability are twice as likely to suffer a potentially avoidable death compared to the general population. People with intellectual disability experience a large range of potential risk factors for early death, including heart problems, high blood pressure and obesity, and experience challenges accessing health care</w:t>
      </w:r>
      <w:r w:rsidR="00FC6530">
        <w:t>,</w:t>
      </w:r>
      <w:r>
        <w:t xml:space="preserve"> in part due to capacity and communication issues and active discrimination. People with mental health and psychosocial disability also experience poorer health outcomes and additional challenges with accessing the right care, at the right time in the right place.</w:t>
      </w:r>
    </w:p>
    <w:p w14:paraId="28620EAA" w14:textId="77777777" w:rsidR="00C22010" w:rsidRDefault="00C22010" w:rsidP="00F16CFC">
      <w:pPr>
        <w:jc w:val="both"/>
      </w:pPr>
      <w:r>
        <w:t xml:space="preserve">A health system that delivers integrated care across acute, sub-acute and primary health care, and greater integration and connected care across disability services is essential in delivering quality health care for people with disability. People with disability need to be </w:t>
      </w:r>
      <w:r w:rsidR="00CA52A0">
        <w:t xml:space="preserve">actively </w:t>
      </w:r>
      <w:r>
        <w:t>included in the design, implementation and evaluation of integrated health services.</w:t>
      </w:r>
    </w:p>
    <w:p w14:paraId="54D94674" w14:textId="147BF0BF" w:rsidR="00C22010" w:rsidRDefault="00C22010" w:rsidP="00F16CFC">
      <w:pPr>
        <w:jc w:val="both"/>
      </w:pPr>
      <w:r>
        <w:t>QDN supports the call for improved health outcomes and health care for people with disability, including people with intellectual disability</w:t>
      </w:r>
      <w:r w:rsidR="00CA52A0">
        <w:t xml:space="preserve">. </w:t>
      </w:r>
      <w:r w:rsidRPr="00C22010">
        <w:t xml:space="preserve">QDN supports work that upholds the </w:t>
      </w:r>
      <w:r w:rsidR="007B5155">
        <w:t>UN</w:t>
      </w:r>
      <w:r w:rsidRPr="00C22010">
        <w:t xml:space="preserve"> Convention on the Rights of People with Disability,</w:t>
      </w:r>
      <w:r w:rsidR="00CA52A0">
        <w:t xml:space="preserve"> including </w:t>
      </w:r>
      <w:r w:rsidRPr="00C22010">
        <w:t>the right to the highest attainable standard of health, without discrimination.</w:t>
      </w:r>
    </w:p>
    <w:p w14:paraId="2E70C0E9" w14:textId="5095926E" w:rsidR="00C22010" w:rsidRDefault="00C22010" w:rsidP="00F16CFC">
      <w:pPr>
        <w:jc w:val="both"/>
      </w:pPr>
      <w:r>
        <w:t>As outlined above, health is also a significant area of challenge with unresolved NDIS interface issues with regards</w:t>
      </w:r>
      <w:r w:rsidR="006577D8">
        <w:t xml:space="preserve"> </w:t>
      </w:r>
      <w:r>
        <w:t>to essential health services including mental health, wound care, and medical aids subsidy scheme. These issues are impacting upon people with disabilities</w:t>
      </w:r>
      <w:r w:rsidR="007B5155">
        <w:t>’</w:t>
      </w:r>
      <w:r>
        <w:t xml:space="preserve"> certainty of supports and quality of life, going forward. </w:t>
      </w:r>
    </w:p>
    <w:p w14:paraId="36A56C48" w14:textId="2B839277" w:rsidR="00C22010" w:rsidRDefault="00C22010" w:rsidP="00F16CFC">
      <w:pPr>
        <w:jc w:val="both"/>
      </w:pPr>
      <w:r>
        <w:t>It is critical that Governments set clearer boundaries and ensure that there are continuity of care arrangements in place to ensure that people can access these essential services.</w:t>
      </w:r>
    </w:p>
    <w:p w14:paraId="7196A74F" w14:textId="77777777" w:rsidR="006577D8" w:rsidRDefault="006577D8" w:rsidP="00F16CFC">
      <w:pPr>
        <w:jc w:val="both"/>
      </w:pPr>
    </w:p>
    <w:p w14:paraId="6653B6BF" w14:textId="77777777" w:rsidR="00641449" w:rsidRDefault="004A0C2D" w:rsidP="00641449">
      <w:pPr>
        <w:pStyle w:val="Heading3"/>
        <w:spacing w:before="0" w:line="240" w:lineRule="auto"/>
        <w:jc w:val="both"/>
        <w:rPr>
          <w:rFonts w:eastAsia="MS Mincho"/>
          <w:lang w:val="en-AU" w:eastAsia="en-US"/>
        </w:rPr>
      </w:pPr>
      <w:bookmarkStart w:id="45" w:name="_Toc5631146"/>
      <w:r w:rsidRPr="009005B5">
        <w:rPr>
          <w:rFonts w:eastAsia="MS Mincho"/>
          <w:lang w:val="en-AU" w:eastAsia="en-US"/>
        </w:rPr>
        <w:lastRenderedPageBreak/>
        <w:t xml:space="preserve">QDN calls </w:t>
      </w:r>
      <w:r w:rsidR="00641449">
        <w:rPr>
          <w:rFonts w:eastAsia="MS Mincho"/>
          <w:lang w:val="en-AU" w:eastAsia="en-US"/>
        </w:rPr>
        <w:t>for</w:t>
      </w:r>
      <w:bookmarkEnd w:id="45"/>
      <w:r w:rsidR="00C22010">
        <w:rPr>
          <w:rFonts w:eastAsia="MS Mincho"/>
          <w:lang w:val="en-AU" w:eastAsia="en-US"/>
        </w:rPr>
        <w:t xml:space="preserve"> candidates to commit to:</w:t>
      </w:r>
    </w:p>
    <w:p w14:paraId="3496B952" w14:textId="591A88F4" w:rsidR="00003187" w:rsidRDefault="00003187" w:rsidP="00F16CFC">
      <w:pPr>
        <w:pStyle w:val="ListParagraph"/>
        <w:numPr>
          <w:ilvl w:val="0"/>
          <w:numId w:val="34"/>
        </w:numPr>
        <w:jc w:val="both"/>
        <w:rPr>
          <w:szCs w:val="24"/>
        </w:rPr>
      </w:pPr>
      <w:r w:rsidRPr="00003187">
        <w:rPr>
          <w:szCs w:val="24"/>
        </w:rPr>
        <w:t>Funding specific co-designed and peer led programs to increase the health literacy of people with disability. These programs should equip people with the skills, information and confidence to make informed choices, be knowledgeable of their healthcare rights and to successfully navigate the heath system</w:t>
      </w:r>
      <w:r w:rsidR="0038644C">
        <w:rPr>
          <w:szCs w:val="24"/>
        </w:rPr>
        <w:t>;</w:t>
      </w:r>
    </w:p>
    <w:p w14:paraId="155042E7" w14:textId="77777777" w:rsidR="00003187" w:rsidRPr="00003187" w:rsidRDefault="00003187" w:rsidP="00F16CFC">
      <w:pPr>
        <w:pStyle w:val="ListParagraph"/>
        <w:rPr>
          <w:szCs w:val="24"/>
        </w:rPr>
      </w:pPr>
    </w:p>
    <w:p w14:paraId="43234FAA" w14:textId="3BDBC10D" w:rsidR="00003187" w:rsidRDefault="00003187" w:rsidP="00F16CFC">
      <w:pPr>
        <w:pStyle w:val="ListParagraph"/>
        <w:numPr>
          <w:ilvl w:val="0"/>
          <w:numId w:val="34"/>
        </w:numPr>
        <w:jc w:val="both"/>
        <w:rPr>
          <w:szCs w:val="24"/>
        </w:rPr>
      </w:pPr>
      <w:r w:rsidRPr="00003187">
        <w:rPr>
          <w:szCs w:val="24"/>
        </w:rPr>
        <w:t>Funding education programs and initiatives in Primary Health Networks and universities, to increase capacity of G</w:t>
      </w:r>
      <w:r w:rsidR="007B5155">
        <w:rPr>
          <w:szCs w:val="24"/>
        </w:rPr>
        <w:t xml:space="preserve">eneral </w:t>
      </w:r>
      <w:r w:rsidRPr="00003187">
        <w:rPr>
          <w:szCs w:val="24"/>
        </w:rPr>
        <w:t>P</w:t>
      </w:r>
      <w:r w:rsidR="007B5155">
        <w:rPr>
          <w:szCs w:val="24"/>
        </w:rPr>
        <w:t>ractitioner</w:t>
      </w:r>
      <w:r w:rsidRPr="00003187">
        <w:rPr>
          <w:szCs w:val="24"/>
        </w:rPr>
        <w:t>s</w:t>
      </w:r>
      <w:r w:rsidR="007B5155">
        <w:rPr>
          <w:szCs w:val="24"/>
        </w:rPr>
        <w:t xml:space="preserve"> (GPs)</w:t>
      </w:r>
      <w:r w:rsidRPr="00003187">
        <w:rPr>
          <w:szCs w:val="24"/>
        </w:rPr>
        <w:t xml:space="preserve"> and other allied health professionals to better meet the needs of people with disability</w:t>
      </w:r>
      <w:r w:rsidR="0038644C">
        <w:rPr>
          <w:szCs w:val="24"/>
        </w:rPr>
        <w:t>;</w:t>
      </w:r>
    </w:p>
    <w:p w14:paraId="3CB40BFE" w14:textId="77777777" w:rsidR="00003187" w:rsidRPr="00003187" w:rsidRDefault="00003187" w:rsidP="00F16CFC">
      <w:pPr>
        <w:pStyle w:val="ListParagraph"/>
        <w:rPr>
          <w:szCs w:val="24"/>
        </w:rPr>
      </w:pPr>
    </w:p>
    <w:p w14:paraId="623CE3F1" w14:textId="77777777" w:rsidR="00C94C00" w:rsidRPr="00C94C00" w:rsidRDefault="00C94C00" w:rsidP="00F16CFC">
      <w:pPr>
        <w:pStyle w:val="ListParagraph"/>
        <w:numPr>
          <w:ilvl w:val="0"/>
          <w:numId w:val="34"/>
        </w:numPr>
        <w:jc w:val="both"/>
        <w:rPr>
          <w:szCs w:val="24"/>
        </w:rPr>
      </w:pPr>
      <w:r w:rsidRPr="00C94C00">
        <w:rPr>
          <w:szCs w:val="24"/>
        </w:rPr>
        <w:t>Establishing a national inquiry into the health of people with intellectual disability, with particular reference to health services within Commonwealth responsibility. The inquiry would conduct public consultations, review the current evidence for best practice and recommend a framework of action to provide accessible, high quality health care to people with intellectual disability</w:t>
      </w:r>
      <w:r w:rsidR="0038644C">
        <w:rPr>
          <w:szCs w:val="24"/>
        </w:rPr>
        <w:t>;</w:t>
      </w:r>
      <w:r w:rsidRPr="00C94C00">
        <w:rPr>
          <w:szCs w:val="24"/>
        </w:rPr>
        <w:t xml:space="preserve"> </w:t>
      </w:r>
    </w:p>
    <w:p w14:paraId="55017821" w14:textId="77777777" w:rsidR="00C94C00" w:rsidRPr="00C94C00" w:rsidRDefault="00C94C00" w:rsidP="00CD5315">
      <w:pPr>
        <w:pStyle w:val="ListParagraph"/>
        <w:ind w:left="360"/>
        <w:jc w:val="both"/>
        <w:rPr>
          <w:sz w:val="12"/>
          <w:szCs w:val="12"/>
        </w:rPr>
      </w:pPr>
    </w:p>
    <w:p w14:paraId="346A7330" w14:textId="77777777" w:rsidR="00C94C00" w:rsidRDefault="00C94C00" w:rsidP="00CE753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rPr>
          <w:szCs w:val="24"/>
        </w:rPr>
      </w:pPr>
      <w:r w:rsidRPr="000312DB">
        <w:rPr>
          <w:szCs w:val="24"/>
        </w:rPr>
        <w:t>Fund</w:t>
      </w:r>
      <w:r>
        <w:rPr>
          <w:szCs w:val="24"/>
        </w:rPr>
        <w:t>ing</w:t>
      </w:r>
      <w:r w:rsidRPr="000312DB">
        <w:rPr>
          <w:szCs w:val="24"/>
        </w:rPr>
        <w:t xml:space="preserve"> a specific program</w:t>
      </w:r>
      <w:r w:rsidR="00CE753D">
        <w:rPr>
          <w:szCs w:val="24"/>
        </w:rPr>
        <w:t xml:space="preserve"> in </w:t>
      </w:r>
      <w:r w:rsidRPr="000312DB">
        <w:rPr>
          <w:szCs w:val="24"/>
        </w:rPr>
        <w:t>Primary Health Network</w:t>
      </w:r>
      <w:r w:rsidR="006F1300">
        <w:rPr>
          <w:szCs w:val="24"/>
        </w:rPr>
        <w:t>s</w:t>
      </w:r>
      <w:r w:rsidRPr="000312DB">
        <w:rPr>
          <w:szCs w:val="24"/>
        </w:rPr>
        <w:t xml:space="preserve"> to enhance the capacity of GPs</w:t>
      </w:r>
      <w:r w:rsidR="00CE753D">
        <w:rPr>
          <w:szCs w:val="24"/>
        </w:rPr>
        <w:t xml:space="preserve"> and other primary health services </w:t>
      </w:r>
      <w:r w:rsidRPr="000312DB">
        <w:rPr>
          <w:szCs w:val="24"/>
        </w:rPr>
        <w:t xml:space="preserve">to respond to the needs of people with </w:t>
      </w:r>
      <w:r w:rsidR="00086FB4">
        <w:rPr>
          <w:szCs w:val="24"/>
        </w:rPr>
        <w:t xml:space="preserve"> </w:t>
      </w:r>
      <w:r w:rsidRPr="000312DB">
        <w:rPr>
          <w:szCs w:val="24"/>
        </w:rPr>
        <w:t>intellectual disability</w:t>
      </w:r>
      <w:r w:rsidR="00086FB4">
        <w:rPr>
          <w:szCs w:val="24"/>
        </w:rPr>
        <w:t xml:space="preserve"> and to link them to appropriate healthcare; </w:t>
      </w:r>
    </w:p>
    <w:p w14:paraId="72D1D32C" w14:textId="77777777" w:rsidR="00C94C00" w:rsidRPr="000312DB" w:rsidRDefault="00C94C00" w:rsidP="00CE753D">
      <w:pPr>
        <w:pStyle w:val="ListParagraph"/>
        <w:pBdr>
          <w:top w:val="none" w:sz="0" w:space="0" w:color="auto"/>
          <w:left w:val="none" w:sz="0" w:space="0" w:color="auto"/>
          <w:bottom w:val="none" w:sz="0" w:space="0" w:color="auto"/>
          <w:right w:val="none" w:sz="0" w:space="0" w:color="auto"/>
          <w:between w:val="none" w:sz="0" w:space="0" w:color="auto"/>
        </w:pBdr>
        <w:ind w:left="360"/>
        <w:rPr>
          <w:szCs w:val="24"/>
        </w:rPr>
      </w:pPr>
    </w:p>
    <w:p w14:paraId="769F3DE9" w14:textId="77777777" w:rsidR="00C94C00" w:rsidRPr="00515214" w:rsidRDefault="00086FB4" w:rsidP="00CE753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rPr>
          <w:szCs w:val="24"/>
        </w:rPr>
      </w:pPr>
      <w:r>
        <w:t>T</w:t>
      </w:r>
      <w:r w:rsidR="00902712" w:rsidRPr="00F16CFC">
        <w:t xml:space="preserve">he development, piloting and evaluation </w:t>
      </w:r>
      <w:r w:rsidR="00902712" w:rsidRPr="00515214">
        <w:rPr>
          <w:szCs w:val="24"/>
        </w:rPr>
        <w:t xml:space="preserve">of </w:t>
      </w:r>
      <w:r w:rsidR="000F201A" w:rsidRPr="00515214">
        <w:rPr>
          <w:szCs w:val="24"/>
        </w:rPr>
        <w:t>m</w:t>
      </w:r>
      <w:r w:rsidR="00C94C00" w:rsidRPr="00515214">
        <w:rPr>
          <w:szCs w:val="24"/>
        </w:rPr>
        <w:t>odel curriculum</w:t>
      </w:r>
      <w:r w:rsidR="00902712" w:rsidRPr="00515214">
        <w:rPr>
          <w:szCs w:val="24"/>
        </w:rPr>
        <w:t xml:space="preserve"> enhancements to include core intellectual disability, physical and mental health content</w:t>
      </w:r>
      <w:r w:rsidR="006E0521">
        <w:rPr>
          <w:szCs w:val="24"/>
        </w:rPr>
        <w:t>,</w:t>
      </w:r>
      <w:r w:rsidR="00902712" w:rsidRPr="00515214">
        <w:rPr>
          <w:szCs w:val="24"/>
        </w:rPr>
        <w:t xml:space="preserve"> in</w:t>
      </w:r>
      <w:r w:rsidR="006E0521">
        <w:rPr>
          <w:szCs w:val="24"/>
        </w:rPr>
        <w:t xml:space="preserve"> </w:t>
      </w:r>
      <w:r w:rsidR="00902712" w:rsidRPr="00515214">
        <w:rPr>
          <w:szCs w:val="24"/>
        </w:rPr>
        <w:t>university</w:t>
      </w:r>
      <w:r w:rsidR="006E0521">
        <w:rPr>
          <w:szCs w:val="24"/>
        </w:rPr>
        <w:t xml:space="preserve"> </w:t>
      </w:r>
      <w:r w:rsidR="00C94C00" w:rsidRPr="00515214">
        <w:rPr>
          <w:szCs w:val="24"/>
        </w:rPr>
        <w:t>medical and nursing schools</w:t>
      </w:r>
      <w:r w:rsidR="00902712" w:rsidRPr="00515214">
        <w:rPr>
          <w:szCs w:val="24"/>
        </w:rPr>
        <w:t>.  P</w:t>
      </w:r>
      <w:r w:rsidR="00902712" w:rsidRPr="00F16CFC">
        <w:t>eople with disability need to be involved in the design, implementation, teaching and evaluation of these curriculum enhancements</w:t>
      </w:r>
      <w:r w:rsidR="0038644C">
        <w:t xml:space="preserve">; and </w:t>
      </w:r>
    </w:p>
    <w:p w14:paraId="56170875" w14:textId="77777777" w:rsidR="00515214" w:rsidRPr="00515214" w:rsidRDefault="00515214" w:rsidP="00F16CFC">
      <w:pPr>
        <w:pStyle w:val="ListParagraph"/>
        <w:rPr>
          <w:szCs w:val="24"/>
        </w:rPr>
      </w:pPr>
    </w:p>
    <w:p w14:paraId="4CAC513C" w14:textId="3BD2ACBA" w:rsidR="00515214" w:rsidRPr="00515214" w:rsidRDefault="00086FB4" w:rsidP="00F16CFC">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jc w:val="both"/>
        <w:rPr>
          <w:szCs w:val="24"/>
        </w:rPr>
      </w:pPr>
      <w:r>
        <w:t xml:space="preserve">Urgent resolution of NDIS/health mainstream issues </w:t>
      </w:r>
      <w:r w:rsidR="00515214" w:rsidRPr="00F16CFC">
        <w:t>around essential health services such as community nursing, mental health, wound and catheter care and medical and continence aids subsidies</w:t>
      </w:r>
      <w:r w:rsidR="007B5155">
        <w:t>,</w:t>
      </w:r>
      <w:r w:rsidR="00515214" w:rsidRPr="00F16CFC">
        <w:t xml:space="preserve"> to ensure people with disability receive these essential services in an integrated way that meets their life needs. </w:t>
      </w:r>
    </w:p>
    <w:p w14:paraId="09B557BF" w14:textId="77777777" w:rsidR="004C0835" w:rsidRPr="00C237DE" w:rsidRDefault="004C0835" w:rsidP="00F16CFC">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jc w:val="both"/>
        <w:rPr>
          <w:szCs w:val="24"/>
        </w:rPr>
      </w:pPr>
      <w:r w:rsidRPr="00C237DE">
        <w:rPr>
          <w:szCs w:val="24"/>
        </w:rPr>
        <w:br w:type="page"/>
      </w:r>
    </w:p>
    <w:p w14:paraId="0CF3F1E9" w14:textId="77777777" w:rsidR="00E77A0A" w:rsidRPr="00BF7006" w:rsidRDefault="00E77A0A" w:rsidP="004C0835">
      <w:pPr>
        <w:pStyle w:val="Heading2"/>
        <w:rPr>
          <w:b/>
        </w:rPr>
      </w:pPr>
      <w:bookmarkStart w:id="46" w:name="_Toc6236088"/>
      <w:r w:rsidRPr="00BF7006">
        <w:rPr>
          <w:b/>
        </w:rPr>
        <w:lastRenderedPageBreak/>
        <w:t xml:space="preserve">Priority </w:t>
      </w:r>
      <w:r w:rsidR="004A0C2D" w:rsidRPr="00BF7006">
        <w:rPr>
          <w:b/>
        </w:rPr>
        <w:t>6</w:t>
      </w:r>
      <w:bookmarkStart w:id="47" w:name="_Toc5631160"/>
      <w:bookmarkEnd w:id="39"/>
      <w:bookmarkEnd w:id="40"/>
      <w:bookmarkEnd w:id="41"/>
      <w:bookmarkEnd w:id="42"/>
      <w:r w:rsidR="004C0835" w:rsidRPr="00BF7006">
        <w:rPr>
          <w:b/>
        </w:rPr>
        <w:t xml:space="preserve"> - </w:t>
      </w:r>
      <w:r w:rsidRPr="00BF7006">
        <w:rPr>
          <w:b/>
        </w:rPr>
        <w:t>Employment</w:t>
      </w:r>
      <w:bookmarkEnd w:id="47"/>
      <w:bookmarkEnd w:id="46"/>
    </w:p>
    <w:p w14:paraId="059441FA" w14:textId="77777777" w:rsidR="00E77A0A" w:rsidRPr="00BF7006" w:rsidRDefault="00E77A0A" w:rsidP="002A4F26">
      <w:pPr>
        <w:spacing w:before="0" w:line="240" w:lineRule="auto"/>
        <w:jc w:val="both"/>
        <w:rPr>
          <w:b/>
        </w:rPr>
      </w:pPr>
    </w:p>
    <w:p w14:paraId="23B3CE7E" w14:textId="77777777" w:rsidR="00E77A0A" w:rsidRDefault="004C0835" w:rsidP="00B9508B">
      <w:pPr>
        <w:pStyle w:val="Heading3"/>
        <w:spacing w:before="0" w:line="240" w:lineRule="auto"/>
        <w:jc w:val="both"/>
      </w:pPr>
      <w:bookmarkStart w:id="48" w:name="_Toc5631161"/>
      <w:r>
        <w:t xml:space="preserve">Context </w:t>
      </w:r>
      <w:bookmarkEnd w:id="48"/>
    </w:p>
    <w:p w14:paraId="440573DE" w14:textId="77777777" w:rsidR="00764359" w:rsidRPr="00764359" w:rsidRDefault="00764359" w:rsidP="00F16CFC">
      <w:pPr>
        <w:jc w:val="both"/>
      </w:pPr>
      <w:r w:rsidRPr="00764359">
        <w:t>People with disability experience significantly worse employment outcomes than others in their community. People with disability are ‘willing to work’ and improve their individual economic and social participation, and routinely experience significant barriers to employment.</w:t>
      </w:r>
    </w:p>
    <w:p w14:paraId="203AD90D" w14:textId="77777777" w:rsidR="00764359" w:rsidRPr="00764359" w:rsidRDefault="00764359" w:rsidP="00F16CFC">
      <w:pPr>
        <w:jc w:val="both"/>
      </w:pPr>
      <w:r w:rsidRPr="00764359">
        <w:t>There are 2.1 million Australians of working age with disability. Employment outcomes for Australians with disability remain drastically below outcomes for the general population</w:t>
      </w:r>
      <w:r>
        <w:t>.</w:t>
      </w:r>
      <w:r w:rsidRPr="00764359">
        <w:t xml:space="preserve"> Lack of inclusive skilling opportunities and workplaces contribute significantly to low</w:t>
      </w:r>
      <w:r>
        <w:t>er</w:t>
      </w:r>
      <w:r w:rsidRPr="00764359">
        <w:t xml:space="preserve"> employment participation rates for people with disability in Australia. The Australian Government has a </w:t>
      </w:r>
      <w:r>
        <w:t xml:space="preserve">key </w:t>
      </w:r>
      <w:r w:rsidRPr="00764359">
        <w:t>role to play in setting targets for its own workforce, and offering inclusive skilling opportunities to people with disability</w:t>
      </w:r>
      <w:r w:rsidR="00492411">
        <w:t>.</w:t>
      </w:r>
    </w:p>
    <w:p w14:paraId="0CA5938E" w14:textId="09F80C5F" w:rsidR="00764359" w:rsidRDefault="00764359" w:rsidP="00F16CFC">
      <w:pPr>
        <w:jc w:val="both"/>
      </w:pPr>
      <w:r w:rsidRPr="00764359">
        <w:t xml:space="preserve">In addition, people with disability need opportunities to develop skills, knowledge and confidence to influence their own lives and inclusion in communities. </w:t>
      </w:r>
      <w:r w:rsidR="00674051">
        <w:t xml:space="preserve">These opportunities need to focus on skills and attributes and </w:t>
      </w:r>
      <w:r w:rsidR="00492411">
        <w:t xml:space="preserve">should </w:t>
      </w:r>
      <w:r w:rsidR="00674051">
        <w:t xml:space="preserve">not be </w:t>
      </w:r>
      <w:r w:rsidR="00BF7006">
        <w:t xml:space="preserve">punitive in nature. </w:t>
      </w:r>
      <w:r w:rsidR="00674051">
        <w:t xml:space="preserve">  </w:t>
      </w:r>
    </w:p>
    <w:p w14:paraId="0BFF5582" w14:textId="77777777" w:rsidR="006577D8" w:rsidRPr="00764359" w:rsidRDefault="006577D8" w:rsidP="00F16CFC">
      <w:pPr>
        <w:jc w:val="both"/>
      </w:pPr>
    </w:p>
    <w:p w14:paraId="59285D62" w14:textId="70EA360B" w:rsidR="00BF7006" w:rsidRDefault="00E77A0A" w:rsidP="00BF7006">
      <w:pPr>
        <w:pStyle w:val="Heading3"/>
        <w:spacing w:before="0" w:line="240" w:lineRule="auto"/>
        <w:jc w:val="both"/>
        <w:rPr>
          <w:rFonts w:eastAsia="MS Mincho"/>
          <w:lang w:val="en-AU" w:eastAsia="en-US"/>
        </w:rPr>
      </w:pPr>
      <w:bookmarkStart w:id="49" w:name="_Toc5631162"/>
      <w:r w:rsidRPr="00E77A0A">
        <w:rPr>
          <w:rFonts w:eastAsia="MS Mincho"/>
          <w:lang w:val="en-AU" w:eastAsia="en-US"/>
        </w:rPr>
        <w:t xml:space="preserve">QDN calls </w:t>
      </w:r>
      <w:bookmarkEnd w:id="49"/>
      <w:r w:rsidR="00F9390C">
        <w:rPr>
          <w:rFonts w:eastAsia="MS Mincho"/>
          <w:lang w:val="en-AU" w:eastAsia="en-US"/>
        </w:rPr>
        <w:t>for c</w:t>
      </w:r>
      <w:r w:rsidR="0034783F">
        <w:rPr>
          <w:rFonts w:eastAsia="MS Mincho"/>
          <w:lang w:val="en-AU" w:eastAsia="en-US"/>
        </w:rPr>
        <w:t>andidates to commit to:</w:t>
      </w:r>
    </w:p>
    <w:p w14:paraId="7C934D7E" w14:textId="77777777" w:rsidR="00E77A0A" w:rsidRDefault="00E77A0A" w:rsidP="00F16CFC">
      <w:pPr>
        <w:pStyle w:val="NoSpacing"/>
        <w:numPr>
          <w:ilvl w:val="0"/>
          <w:numId w:val="35"/>
        </w:numPr>
        <w:spacing w:before="120" w:line="276" w:lineRule="auto"/>
        <w:ind w:left="357" w:hanging="357"/>
        <w:jc w:val="both"/>
      </w:pPr>
      <w:r w:rsidRPr="00E77A0A">
        <w:t>Adopt</w:t>
      </w:r>
      <w:r w:rsidR="00BF7006">
        <w:t xml:space="preserve">ion of </w:t>
      </w:r>
      <w:r w:rsidRPr="00E77A0A">
        <w:t>disability action plans for all public entities</w:t>
      </w:r>
      <w:r w:rsidR="00BF7006">
        <w:t xml:space="preserve"> and private workplaces</w:t>
      </w:r>
      <w:r w:rsidRPr="00E77A0A">
        <w:t>, if currently not in place</w:t>
      </w:r>
      <w:r w:rsidR="00BF7006">
        <w:t xml:space="preserve">, including </w:t>
      </w:r>
      <w:r w:rsidRPr="00E77A0A">
        <w:t>employment ratio targets for people with disability of 10-13% and a commitment to inclusive workplaces</w:t>
      </w:r>
      <w:r w:rsidR="00BF7006">
        <w:t>;</w:t>
      </w:r>
    </w:p>
    <w:p w14:paraId="3A10D342" w14:textId="77777777" w:rsidR="0034783F" w:rsidRPr="00E77A0A" w:rsidRDefault="0034783F" w:rsidP="00F16CFC">
      <w:pPr>
        <w:pStyle w:val="NoSpacing"/>
        <w:numPr>
          <w:ilvl w:val="0"/>
          <w:numId w:val="35"/>
        </w:numPr>
        <w:spacing w:before="120" w:line="276" w:lineRule="auto"/>
        <w:jc w:val="both"/>
      </w:pPr>
      <w:r>
        <w:t>I</w:t>
      </w:r>
      <w:r w:rsidRPr="0034783F">
        <w:t>ncentives for private workplaces to adopt disability action plans which also include employment ratio targets for people with disability and a commitment to inclusive workplaces</w:t>
      </w:r>
      <w:r w:rsidR="00492411">
        <w:t xml:space="preserve">; </w:t>
      </w:r>
    </w:p>
    <w:p w14:paraId="328567D0" w14:textId="16ABF44C" w:rsidR="0038644C" w:rsidRDefault="00E77A0A" w:rsidP="00F16CFC">
      <w:pPr>
        <w:pStyle w:val="ListParagraph"/>
        <w:numPr>
          <w:ilvl w:val="0"/>
          <w:numId w:val="24"/>
        </w:numPr>
        <w:jc w:val="both"/>
      </w:pPr>
      <w:r w:rsidRPr="00E77A0A">
        <w:t>Offer skilling opportunities that are well-resourced, inclusive of and focused on people</w:t>
      </w:r>
      <w:r w:rsidR="002B473C">
        <w:t>’</w:t>
      </w:r>
      <w:r w:rsidR="00BF7006">
        <w:t>s skills and abilities and not be punitive in nature;</w:t>
      </w:r>
      <w:r w:rsidR="00492411">
        <w:t xml:space="preserve"> and</w:t>
      </w:r>
    </w:p>
    <w:p w14:paraId="42EC726D" w14:textId="77777777" w:rsidR="0038644C" w:rsidRPr="00F16CFC" w:rsidRDefault="0038644C" w:rsidP="00F16CFC">
      <w:pPr>
        <w:jc w:val="both"/>
        <w:rPr>
          <w:sz w:val="2"/>
        </w:rPr>
      </w:pPr>
    </w:p>
    <w:p w14:paraId="03EE8D9A" w14:textId="77777777" w:rsidR="00537D9C" w:rsidRDefault="00E77A0A" w:rsidP="00492411">
      <w:pPr>
        <w:pStyle w:val="ListParagraph"/>
        <w:numPr>
          <w:ilvl w:val="3"/>
          <w:numId w:val="24"/>
        </w:numPr>
        <w:pBdr>
          <w:top w:val="none" w:sz="0" w:space="0" w:color="auto"/>
          <w:left w:val="none" w:sz="0" w:space="0" w:color="auto"/>
          <w:bottom w:val="none" w:sz="0" w:space="0" w:color="auto"/>
          <w:right w:val="none" w:sz="0" w:space="0" w:color="auto"/>
          <w:between w:val="none" w:sz="0" w:space="0" w:color="auto"/>
        </w:pBdr>
        <w:ind w:left="357" w:hanging="357"/>
        <w:jc w:val="both"/>
      </w:pPr>
      <w:r w:rsidRPr="00E77A0A">
        <w:t xml:space="preserve">Offer funding for ongoing innovative programs focused on </w:t>
      </w:r>
      <w:r w:rsidR="00BF7006">
        <w:t>leadership of p</w:t>
      </w:r>
      <w:r w:rsidRPr="00E77A0A">
        <w:t>eople with disability</w:t>
      </w:r>
      <w:r w:rsidR="00BF7006">
        <w:t>.</w:t>
      </w:r>
      <w:r w:rsidRPr="00E77A0A">
        <w:t xml:space="preserve"> </w:t>
      </w:r>
    </w:p>
    <w:p w14:paraId="71BB03CA" w14:textId="77777777" w:rsidR="00BF7006" w:rsidRDefault="00BF7006" w:rsidP="00492411">
      <w:pPr>
        <w:pStyle w:val="ListParagraph"/>
        <w:numPr>
          <w:ilvl w:val="3"/>
          <w:numId w:val="24"/>
        </w:numPr>
        <w:pBdr>
          <w:top w:val="none" w:sz="0" w:space="0" w:color="auto"/>
          <w:left w:val="none" w:sz="0" w:space="0" w:color="auto"/>
          <w:bottom w:val="none" w:sz="0" w:space="0" w:color="auto"/>
          <w:right w:val="none" w:sz="0" w:space="0" w:color="auto"/>
          <w:between w:val="none" w:sz="0" w:space="0" w:color="auto"/>
        </w:pBdr>
        <w:ind w:left="357" w:hanging="357"/>
        <w:jc w:val="both"/>
      </w:pPr>
      <w:r>
        <w:br w:type="page"/>
      </w:r>
    </w:p>
    <w:p w14:paraId="2E8D5B17" w14:textId="77777777" w:rsidR="00400260" w:rsidRDefault="00400260" w:rsidP="00BF7006">
      <w:pPr>
        <w:pStyle w:val="Heading2"/>
        <w:spacing w:before="0" w:line="240" w:lineRule="auto"/>
        <w:rPr>
          <w:b/>
          <w:color w:val="002060"/>
        </w:rPr>
      </w:pPr>
      <w:bookmarkStart w:id="50" w:name="_Toc6236089"/>
      <w:r w:rsidRPr="00BF7006">
        <w:rPr>
          <w:b/>
          <w:color w:val="002060"/>
        </w:rPr>
        <w:lastRenderedPageBreak/>
        <w:t>Priority 7</w:t>
      </w:r>
      <w:bookmarkStart w:id="51" w:name="_Toc5631132"/>
      <w:r w:rsidR="00BF7006" w:rsidRPr="00BF7006">
        <w:rPr>
          <w:b/>
          <w:color w:val="002060"/>
        </w:rPr>
        <w:t xml:space="preserve"> - </w:t>
      </w:r>
      <w:r w:rsidRPr="00BF7006">
        <w:rPr>
          <w:b/>
          <w:color w:val="002060"/>
        </w:rPr>
        <w:t>National Disability Agreement and National Disability Strategy</w:t>
      </w:r>
      <w:bookmarkEnd w:id="51"/>
      <w:bookmarkEnd w:id="50"/>
    </w:p>
    <w:p w14:paraId="7FEC3AD2" w14:textId="77777777" w:rsidR="00BF7006" w:rsidRPr="00BF7006" w:rsidRDefault="00BF7006" w:rsidP="00BF7006">
      <w:pPr>
        <w:spacing w:before="0" w:line="240" w:lineRule="auto"/>
      </w:pPr>
    </w:p>
    <w:p w14:paraId="249996B5" w14:textId="77777777" w:rsidR="00BF7006" w:rsidRDefault="00BF7006" w:rsidP="00BF7006">
      <w:pPr>
        <w:pStyle w:val="Heading3"/>
        <w:spacing w:before="0" w:line="240" w:lineRule="auto"/>
        <w:jc w:val="both"/>
        <w:rPr>
          <w:rFonts w:eastAsia="MS Mincho"/>
          <w:lang w:val="en-AU" w:eastAsia="en-US"/>
        </w:rPr>
      </w:pPr>
      <w:bookmarkStart w:id="52" w:name="_Toc5631142"/>
      <w:r>
        <w:rPr>
          <w:rFonts w:eastAsia="MS Mincho"/>
          <w:lang w:val="en-AU" w:eastAsia="en-US"/>
        </w:rPr>
        <w:t xml:space="preserve">Context </w:t>
      </w:r>
      <w:bookmarkEnd w:id="52"/>
    </w:p>
    <w:p w14:paraId="33376084" w14:textId="77777777" w:rsidR="00492411" w:rsidRDefault="00492411" w:rsidP="00BF7006">
      <w:pPr>
        <w:spacing w:before="0" w:line="240" w:lineRule="auto"/>
      </w:pPr>
    </w:p>
    <w:p w14:paraId="6E7E7BB8" w14:textId="77777777" w:rsidR="00BF7006" w:rsidRPr="00BF7006" w:rsidRDefault="00BF7006" w:rsidP="00F16CFC">
      <w:pPr>
        <w:spacing w:before="0" w:line="240" w:lineRule="auto"/>
        <w:jc w:val="both"/>
      </w:pPr>
      <w:r w:rsidRPr="00BF7006">
        <w:t xml:space="preserve">The </w:t>
      </w:r>
      <w:hyperlink r:id="rId26" w:anchor="report" w:history="1">
        <w:r w:rsidRPr="00BF7006">
          <w:rPr>
            <w:color w:val="0563C1" w:themeColor="hyperlink"/>
            <w:u w:val="single"/>
          </w:rPr>
          <w:t>National Disability Agreement (NDA)</w:t>
        </w:r>
      </w:hyperlink>
      <w:r w:rsidRPr="00BF7006">
        <w:t xml:space="preserve"> and </w:t>
      </w:r>
      <w:hyperlink r:id="rId27" w:history="1">
        <w:r w:rsidRPr="00BF7006">
          <w:rPr>
            <w:color w:val="0563C1" w:themeColor="hyperlink"/>
            <w:u w:val="single"/>
          </w:rPr>
          <w:t>National Disability Strategy (NDS)</w:t>
        </w:r>
      </w:hyperlink>
      <w:r w:rsidRPr="00BF7006">
        <w:t xml:space="preserve"> have provided the blueprint for the national disability policy landscape and architecture over recent decades. The recently released report by the Productivity Commission, </w:t>
      </w:r>
      <w:r w:rsidRPr="00BF7006">
        <w:rPr>
          <w:i/>
        </w:rPr>
        <w:t>Review of the National Disability Agreement</w:t>
      </w:r>
      <w:r w:rsidRPr="00BF7006">
        <w:t xml:space="preserve"> provides clear recommendations for a cohesive policy architecture that will provide roles, responsibilities, accountabilities and overarching performance reporting frameworks for all levels of government.  The recommendations extend well beyond the NDIS to other service systems such as housing, transport, health, justice and education. </w:t>
      </w:r>
    </w:p>
    <w:p w14:paraId="055D44E6" w14:textId="77777777" w:rsidR="00BF7006" w:rsidRPr="00BF7006" w:rsidRDefault="00BF7006" w:rsidP="00F16CFC">
      <w:pPr>
        <w:jc w:val="both"/>
      </w:pPr>
      <w:r w:rsidRPr="00BF7006">
        <w:t>The NDA covers 4.3 million people with disability in Australia, regardless of whether or not they are NDIS participants.</w:t>
      </w:r>
    </w:p>
    <w:p w14:paraId="6628D331" w14:textId="77777777" w:rsidR="00BF7006" w:rsidRPr="00BF7006" w:rsidRDefault="00BF7006" w:rsidP="00F16CFC">
      <w:pPr>
        <w:jc w:val="both"/>
      </w:pPr>
      <w:r w:rsidRPr="00BF7006">
        <w:t>The report also outlines recommendations around Commonwealth and State responsibilities to provide disability services outside the NDIS. The report found that in particular there is lack of clarity about who is responsible for:</w:t>
      </w:r>
    </w:p>
    <w:p w14:paraId="473ADC03" w14:textId="77777777" w:rsidR="00BF7006" w:rsidRPr="00BF7006" w:rsidRDefault="00BF7006" w:rsidP="00F16CFC">
      <w:pPr>
        <w:pStyle w:val="ListParagraph"/>
        <w:numPr>
          <w:ilvl w:val="0"/>
          <w:numId w:val="36"/>
        </w:numPr>
        <w:spacing w:before="60"/>
        <w:jc w:val="both"/>
      </w:pPr>
      <w:r w:rsidRPr="00BF7006">
        <w:t>Advocacy services;</w:t>
      </w:r>
    </w:p>
    <w:p w14:paraId="3817376E" w14:textId="77777777" w:rsidR="00BF7006" w:rsidRPr="00BF7006" w:rsidRDefault="00BF7006" w:rsidP="00F16CFC">
      <w:pPr>
        <w:pStyle w:val="ListParagraph"/>
        <w:numPr>
          <w:ilvl w:val="0"/>
          <w:numId w:val="36"/>
        </w:numPr>
        <w:spacing w:before="60"/>
        <w:jc w:val="both"/>
      </w:pPr>
      <w:r w:rsidRPr="00BF7006">
        <w:t>Community access and inclusion programs;</w:t>
      </w:r>
    </w:p>
    <w:p w14:paraId="6DB656B8" w14:textId="77777777" w:rsidR="00BF7006" w:rsidRPr="00BF7006" w:rsidRDefault="00BF7006" w:rsidP="00F16CFC">
      <w:pPr>
        <w:pStyle w:val="ListParagraph"/>
        <w:numPr>
          <w:ilvl w:val="0"/>
          <w:numId w:val="36"/>
        </w:numPr>
        <w:spacing w:before="60"/>
        <w:jc w:val="both"/>
      </w:pPr>
      <w:r w:rsidRPr="00BF7006">
        <w:t>Carer services;</w:t>
      </w:r>
      <w:r w:rsidR="00492411">
        <w:t xml:space="preserve"> and</w:t>
      </w:r>
    </w:p>
    <w:p w14:paraId="0729AFEE" w14:textId="77777777" w:rsidR="00BF7006" w:rsidRPr="00BF7006" w:rsidRDefault="00BF7006" w:rsidP="00F16CFC">
      <w:pPr>
        <w:pStyle w:val="ListParagraph"/>
        <w:numPr>
          <w:ilvl w:val="0"/>
          <w:numId w:val="36"/>
        </w:numPr>
        <w:spacing w:before="60"/>
        <w:jc w:val="both"/>
      </w:pPr>
      <w:r w:rsidRPr="00BF7006">
        <w:t>Services to people with psychosocial disability.</w:t>
      </w:r>
    </w:p>
    <w:p w14:paraId="654F0444" w14:textId="77777777" w:rsidR="00BF7006" w:rsidRPr="00BF7006" w:rsidRDefault="00BF7006" w:rsidP="00F16CFC">
      <w:pPr>
        <w:jc w:val="both"/>
      </w:pPr>
      <w:r w:rsidRPr="00BF7006">
        <w:t xml:space="preserve">As stated in the </w:t>
      </w:r>
      <w:hyperlink r:id="rId28" w:anchor="report" w:history="1">
        <w:r w:rsidRPr="00384A1E">
          <w:rPr>
            <w:rStyle w:val="Hyperlink"/>
          </w:rPr>
          <w:t>Productivity Commission report</w:t>
        </w:r>
      </w:hyperlink>
      <w:r w:rsidRPr="00BF7006">
        <w:t xml:space="preserve">, </w:t>
      </w:r>
      <w:r w:rsidR="00384A1E">
        <w:t xml:space="preserve">there is </w:t>
      </w:r>
      <w:r w:rsidRPr="00BF7006">
        <w:t>shared responsibility across all levels of government to deliver improved services</w:t>
      </w:r>
      <w:r w:rsidR="00492411">
        <w:t>.  R</w:t>
      </w:r>
      <w:r w:rsidRPr="00BF7006">
        <w:t xml:space="preserve">esponses to people with disability should be stated in the NDA. </w:t>
      </w:r>
    </w:p>
    <w:p w14:paraId="2363977F" w14:textId="77777777" w:rsidR="00BF7006" w:rsidRPr="00384A1E" w:rsidRDefault="00BF7006" w:rsidP="00F16CFC">
      <w:pPr>
        <w:keepNext/>
        <w:jc w:val="both"/>
      </w:pPr>
      <w:r w:rsidRPr="00384A1E">
        <w:t>The Productivity Commission found the new NDA should:</w:t>
      </w:r>
    </w:p>
    <w:p w14:paraId="3EB7A11A" w14:textId="3B14EAEC" w:rsidR="00302217" w:rsidRDefault="00BF7006" w:rsidP="00F16CFC">
      <w:pPr>
        <w:pStyle w:val="ListParagraph"/>
        <w:numPr>
          <w:ilvl w:val="0"/>
          <w:numId w:val="39"/>
        </w:numPr>
        <w:spacing w:before="60"/>
        <w:jc w:val="both"/>
      </w:pPr>
      <w:r w:rsidRPr="00384A1E">
        <w:t xml:space="preserve">Set out the aspirational objective for disability policy in Australia </w:t>
      </w:r>
      <w:r w:rsidR="00384A1E" w:rsidRPr="00384A1E">
        <w:t xml:space="preserve">which </w:t>
      </w:r>
      <w:r w:rsidRPr="00384A1E">
        <w:t>acknowledge</w:t>
      </w:r>
      <w:r w:rsidR="00384A1E" w:rsidRPr="00384A1E">
        <w:t>s</w:t>
      </w:r>
      <w:r w:rsidRPr="00384A1E">
        <w:t xml:space="preserve"> and reflect</w:t>
      </w:r>
      <w:r w:rsidR="002B473C">
        <w:t>s</w:t>
      </w:r>
      <w:r w:rsidRPr="00384A1E">
        <w:t xml:space="preserve"> the rights committed to by Australia under the U</w:t>
      </w:r>
      <w:r w:rsidR="002B473C">
        <w:t>N</w:t>
      </w:r>
      <w:r w:rsidRPr="00384A1E">
        <w:t>Convention of Persons with Disabilities (CRPD)</w:t>
      </w:r>
      <w:r w:rsidR="00492411">
        <w:t>; and</w:t>
      </w:r>
    </w:p>
    <w:p w14:paraId="25AC449A" w14:textId="77777777" w:rsidR="00BF7006" w:rsidRPr="00384A1E" w:rsidRDefault="00BF7006" w:rsidP="00F16CFC">
      <w:pPr>
        <w:pStyle w:val="ListParagraph"/>
        <w:numPr>
          <w:ilvl w:val="0"/>
          <w:numId w:val="39"/>
        </w:numPr>
        <w:spacing w:before="60"/>
        <w:jc w:val="both"/>
      </w:pPr>
      <w:r w:rsidRPr="00384A1E">
        <w:t>Outline the roles and responsibilities of governments in progressing the above objectives</w:t>
      </w:r>
      <w:r w:rsidR="00492411">
        <w:t>.</w:t>
      </w:r>
      <w:r w:rsidRPr="00384A1E">
        <w:t xml:space="preserve"> </w:t>
      </w:r>
    </w:p>
    <w:p w14:paraId="5CD09FD6" w14:textId="77777777" w:rsidR="00BF7006" w:rsidRPr="00384A1E" w:rsidRDefault="00BF7006" w:rsidP="00F16CFC">
      <w:pPr>
        <w:jc w:val="both"/>
      </w:pPr>
      <w:r w:rsidRPr="00384A1E">
        <w:t>The Australian Government must endorse and accept the recommendations of the report and implement them as soon as possible.</w:t>
      </w:r>
    </w:p>
    <w:p w14:paraId="4A90B10E" w14:textId="77777777" w:rsidR="00BF7006" w:rsidRDefault="00BF7006" w:rsidP="00F16CFC">
      <w:pPr>
        <w:pStyle w:val="NoSpacing"/>
        <w:jc w:val="both"/>
      </w:pPr>
    </w:p>
    <w:p w14:paraId="2BE53789" w14:textId="77777777" w:rsidR="00400260" w:rsidRDefault="00384A1E" w:rsidP="00400260">
      <w:pPr>
        <w:pStyle w:val="Heading3"/>
        <w:spacing w:before="0" w:line="240" w:lineRule="auto"/>
        <w:jc w:val="both"/>
      </w:pPr>
      <w:bookmarkStart w:id="53" w:name="_Toc5631133"/>
      <w:r>
        <w:t>QD</w:t>
      </w:r>
      <w:r w:rsidR="00400260">
        <w:t xml:space="preserve">N calls </w:t>
      </w:r>
      <w:r w:rsidR="00BF7006">
        <w:t>for</w:t>
      </w:r>
      <w:bookmarkEnd w:id="53"/>
      <w:r w:rsidR="0077732B">
        <w:t xml:space="preserve"> candidates to commit to:</w:t>
      </w:r>
    </w:p>
    <w:p w14:paraId="13904742" w14:textId="77777777" w:rsidR="00384A1E" w:rsidRDefault="00400260" w:rsidP="00B9508B">
      <w:pPr>
        <w:pStyle w:val="ListParagraph"/>
        <w:numPr>
          <w:ilvl w:val="0"/>
          <w:numId w:val="37"/>
        </w:numPr>
        <w:jc w:val="both"/>
      </w:pPr>
      <w:r>
        <w:t>A</w:t>
      </w:r>
      <w:r w:rsidRPr="00F924A4">
        <w:t>ccept</w:t>
      </w:r>
      <w:r w:rsidR="00384A1E">
        <w:t xml:space="preserve">ance </w:t>
      </w:r>
      <w:r w:rsidRPr="00F924A4">
        <w:t>and implement</w:t>
      </w:r>
      <w:r w:rsidR="00384A1E">
        <w:t>ation of</w:t>
      </w:r>
      <w:r w:rsidRPr="00F924A4">
        <w:t xml:space="preserve"> the recommendations of the </w:t>
      </w:r>
      <w:hyperlink r:id="rId29" w:anchor="report" w:history="1">
        <w:r w:rsidRPr="00384A1E">
          <w:rPr>
            <w:rStyle w:val="Hyperlink"/>
          </w:rPr>
          <w:t xml:space="preserve">Productivity Commission report </w:t>
        </w:r>
        <w:r w:rsidRPr="00384A1E">
          <w:rPr>
            <w:rStyle w:val="Hyperlink"/>
            <w:i/>
          </w:rPr>
          <w:t>Review of the National Disability Agreement</w:t>
        </w:r>
      </w:hyperlink>
      <w:r w:rsidR="00384A1E">
        <w:t>;</w:t>
      </w:r>
      <w:r w:rsidRPr="00F924A4">
        <w:t xml:space="preserve"> </w:t>
      </w:r>
      <w:r w:rsidR="0038644C">
        <w:t>a</w:t>
      </w:r>
      <w:r w:rsidR="00492411">
        <w:t>nd</w:t>
      </w:r>
    </w:p>
    <w:p w14:paraId="210A6334" w14:textId="77777777" w:rsidR="0038644C" w:rsidRPr="00F16CFC" w:rsidRDefault="0038644C" w:rsidP="00F16CFC">
      <w:pPr>
        <w:jc w:val="both"/>
        <w:rPr>
          <w:sz w:val="2"/>
        </w:rPr>
      </w:pPr>
    </w:p>
    <w:p w14:paraId="268C8C85" w14:textId="531A861D" w:rsidR="0038644C" w:rsidRDefault="0038644C" w:rsidP="00B9508B">
      <w:pPr>
        <w:pStyle w:val="ListParagraph"/>
        <w:numPr>
          <w:ilvl w:val="0"/>
          <w:numId w:val="37"/>
        </w:numPr>
        <w:jc w:val="both"/>
      </w:pPr>
      <w:r>
        <w:t>Commitment</w:t>
      </w:r>
      <w:r w:rsidRPr="0038644C">
        <w:t xml:space="preserve"> </w:t>
      </w:r>
      <w:r w:rsidRPr="00F924A4">
        <w:t>to inclusive consultation on the new N</w:t>
      </w:r>
      <w:r w:rsidR="002B473C">
        <w:t>DA</w:t>
      </w:r>
      <w:r w:rsidRPr="00F924A4">
        <w:t>in which people with disability have their voices heard</w:t>
      </w:r>
      <w:r>
        <w:t>,</w:t>
      </w:r>
      <w:r w:rsidRPr="00F924A4">
        <w:t xml:space="preserve"> and are active participants in the planning, design and implementation of the new agreement.</w:t>
      </w:r>
    </w:p>
    <w:p w14:paraId="78F7A0DB" w14:textId="77777777" w:rsidR="00A66B18" w:rsidRDefault="00A66B18" w:rsidP="00492411">
      <w:pPr>
        <w:spacing w:before="0" w:line="240" w:lineRule="auto"/>
        <w:jc w:val="both"/>
      </w:pPr>
    </w:p>
    <w:sectPr w:rsidR="00A66B18">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561BC" w14:textId="77777777" w:rsidR="00F96003" w:rsidRDefault="00F96003" w:rsidP="00326F5A">
      <w:pPr>
        <w:spacing w:before="0" w:line="240" w:lineRule="auto"/>
      </w:pPr>
      <w:r>
        <w:separator/>
      </w:r>
    </w:p>
  </w:endnote>
  <w:endnote w:type="continuationSeparator" w:id="0">
    <w:p w14:paraId="5D02C5A6" w14:textId="77777777" w:rsidR="00F96003" w:rsidRDefault="00F96003" w:rsidP="00326F5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170848"/>
      <w:docPartObj>
        <w:docPartGallery w:val="Page Numbers (Bottom of Page)"/>
        <w:docPartUnique/>
      </w:docPartObj>
    </w:sdtPr>
    <w:sdtEndPr>
      <w:rPr>
        <w:noProof/>
      </w:rPr>
    </w:sdtEndPr>
    <w:sdtContent>
      <w:p w14:paraId="1FB893D7" w14:textId="7500CA2F" w:rsidR="00F96003" w:rsidRDefault="00F96003">
        <w:pPr>
          <w:pStyle w:val="Footer"/>
        </w:pPr>
        <w:r>
          <w:fldChar w:fldCharType="begin"/>
        </w:r>
        <w:r>
          <w:instrText xml:space="preserve"> PAGE   \* MERGEFORMAT </w:instrText>
        </w:r>
        <w:r>
          <w:fldChar w:fldCharType="separate"/>
        </w:r>
        <w:r w:rsidR="00AF3E29">
          <w:rPr>
            <w:noProof/>
          </w:rPr>
          <w:t>14</w:t>
        </w:r>
        <w:r>
          <w:rPr>
            <w:noProof/>
          </w:rPr>
          <w:fldChar w:fldCharType="end"/>
        </w:r>
      </w:p>
    </w:sdtContent>
  </w:sdt>
  <w:p w14:paraId="070C56EE" w14:textId="77777777" w:rsidR="00F96003" w:rsidRDefault="00F96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CAC74" w14:textId="77777777" w:rsidR="00F96003" w:rsidRDefault="00F96003" w:rsidP="00326F5A">
      <w:pPr>
        <w:spacing w:before="0" w:line="240" w:lineRule="auto"/>
      </w:pPr>
      <w:r>
        <w:separator/>
      </w:r>
    </w:p>
  </w:footnote>
  <w:footnote w:type="continuationSeparator" w:id="0">
    <w:p w14:paraId="31DEC47F" w14:textId="77777777" w:rsidR="00F96003" w:rsidRDefault="00F96003" w:rsidP="00326F5A">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3B2C"/>
    <w:multiLevelType w:val="hybridMultilevel"/>
    <w:tmpl w:val="AB208B5A"/>
    <w:lvl w:ilvl="0" w:tplc="0C090001">
      <w:start w:val="1"/>
      <w:numFmt w:val="bullet"/>
      <w:lvlText w:val=""/>
      <w:lvlJc w:val="left"/>
      <w:pPr>
        <w:ind w:left="-1229" w:hanging="360"/>
      </w:pPr>
      <w:rPr>
        <w:rFonts w:ascii="Symbol" w:hAnsi="Symbol" w:hint="default"/>
      </w:rPr>
    </w:lvl>
    <w:lvl w:ilvl="1" w:tplc="0C090003" w:tentative="1">
      <w:start w:val="1"/>
      <w:numFmt w:val="bullet"/>
      <w:lvlText w:val="o"/>
      <w:lvlJc w:val="left"/>
      <w:pPr>
        <w:ind w:left="-509" w:hanging="360"/>
      </w:pPr>
      <w:rPr>
        <w:rFonts w:ascii="Courier New" w:hAnsi="Courier New" w:cs="Courier New" w:hint="default"/>
      </w:rPr>
    </w:lvl>
    <w:lvl w:ilvl="2" w:tplc="0C090005" w:tentative="1">
      <w:start w:val="1"/>
      <w:numFmt w:val="bullet"/>
      <w:lvlText w:val=""/>
      <w:lvlJc w:val="left"/>
      <w:pPr>
        <w:ind w:left="211" w:hanging="360"/>
      </w:pPr>
      <w:rPr>
        <w:rFonts w:ascii="Wingdings" w:hAnsi="Wingdings" w:hint="default"/>
      </w:rPr>
    </w:lvl>
    <w:lvl w:ilvl="3" w:tplc="0C090001" w:tentative="1">
      <w:start w:val="1"/>
      <w:numFmt w:val="bullet"/>
      <w:lvlText w:val=""/>
      <w:lvlJc w:val="left"/>
      <w:pPr>
        <w:ind w:left="931" w:hanging="360"/>
      </w:pPr>
      <w:rPr>
        <w:rFonts w:ascii="Symbol" w:hAnsi="Symbol" w:hint="default"/>
      </w:rPr>
    </w:lvl>
    <w:lvl w:ilvl="4" w:tplc="0C090003" w:tentative="1">
      <w:start w:val="1"/>
      <w:numFmt w:val="bullet"/>
      <w:lvlText w:val="o"/>
      <w:lvlJc w:val="left"/>
      <w:pPr>
        <w:ind w:left="1651" w:hanging="360"/>
      </w:pPr>
      <w:rPr>
        <w:rFonts w:ascii="Courier New" w:hAnsi="Courier New" w:cs="Courier New" w:hint="default"/>
      </w:rPr>
    </w:lvl>
    <w:lvl w:ilvl="5" w:tplc="0C090005" w:tentative="1">
      <w:start w:val="1"/>
      <w:numFmt w:val="bullet"/>
      <w:lvlText w:val=""/>
      <w:lvlJc w:val="left"/>
      <w:pPr>
        <w:ind w:left="2371" w:hanging="360"/>
      </w:pPr>
      <w:rPr>
        <w:rFonts w:ascii="Wingdings" w:hAnsi="Wingdings" w:hint="default"/>
      </w:rPr>
    </w:lvl>
    <w:lvl w:ilvl="6" w:tplc="0C090001" w:tentative="1">
      <w:start w:val="1"/>
      <w:numFmt w:val="bullet"/>
      <w:lvlText w:val=""/>
      <w:lvlJc w:val="left"/>
      <w:pPr>
        <w:ind w:left="3091" w:hanging="360"/>
      </w:pPr>
      <w:rPr>
        <w:rFonts w:ascii="Symbol" w:hAnsi="Symbol" w:hint="default"/>
      </w:rPr>
    </w:lvl>
    <w:lvl w:ilvl="7" w:tplc="0C090003" w:tentative="1">
      <w:start w:val="1"/>
      <w:numFmt w:val="bullet"/>
      <w:lvlText w:val="o"/>
      <w:lvlJc w:val="left"/>
      <w:pPr>
        <w:ind w:left="3811" w:hanging="360"/>
      </w:pPr>
      <w:rPr>
        <w:rFonts w:ascii="Courier New" w:hAnsi="Courier New" w:cs="Courier New" w:hint="default"/>
      </w:rPr>
    </w:lvl>
    <w:lvl w:ilvl="8" w:tplc="0C090005" w:tentative="1">
      <w:start w:val="1"/>
      <w:numFmt w:val="bullet"/>
      <w:lvlText w:val=""/>
      <w:lvlJc w:val="left"/>
      <w:pPr>
        <w:ind w:left="4531" w:hanging="360"/>
      </w:pPr>
      <w:rPr>
        <w:rFonts w:ascii="Wingdings" w:hAnsi="Wingdings" w:hint="default"/>
      </w:rPr>
    </w:lvl>
  </w:abstractNum>
  <w:abstractNum w:abstractNumId="1" w15:restartNumberingAfterBreak="0">
    <w:nsid w:val="07D11D95"/>
    <w:multiLevelType w:val="hybridMultilevel"/>
    <w:tmpl w:val="4C4680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E16809"/>
    <w:multiLevelType w:val="hybridMultilevel"/>
    <w:tmpl w:val="E9C4A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A7DC4"/>
    <w:multiLevelType w:val="hybridMultilevel"/>
    <w:tmpl w:val="C0D2BA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477E26"/>
    <w:multiLevelType w:val="hybridMultilevel"/>
    <w:tmpl w:val="CC489A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1564A25"/>
    <w:multiLevelType w:val="hybridMultilevel"/>
    <w:tmpl w:val="71EABE50"/>
    <w:lvl w:ilvl="0" w:tplc="E8B4C92E">
      <w:start w:val="1"/>
      <w:numFmt w:val="decimal"/>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490657"/>
    <w:multiLevelType w:val="hybridMultilevel"/>
    <w:tmpl w:val="4BE4C45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313858"/>
    <w:multiLevelType w:val="hybridMultilevel"/>
    <w:tmpl w:val="71CE6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210C53"/>
    <w:multiLevelType w:val="hybridMultilevel"/>
    <w:tmpl w:val="F51493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311FE8"/>
    <w:multiLevelType w:val="multilevel"/>
    <w:tmpl w:val="759C4478"/>
    <w:lvl w:ilvl="0">
      <w:start w:val="2"/>
      <w:numFmt w:val="decimal"/>
      <w:lvlText w:val="%1"/>
      <w:lvlJc w:val="left"/>
      <w:pPr>
        <w:ind w:left="500" w:hanging="5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10" w15:restartNumberingAfterBreak="0">
    <w:nsid w:val="28B6078E"/>
    <w:multiLevelType w:val="hybridMultilevel"/>
    <w:tmpl w:val="074C531E"/>
    <w:lvl w:ilvl="0" w:tplc="8C74A2F4">
      <w:start w:val="1"/>
      <w:numFmt w:val="decimal"/>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AA1A00"/>
    <w:multiLevelType w:val="hybridMultilevel"/>
    <w:tmpl w:val="33968C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A21999"/>
    <w:multiLevelType w:val="hybridMultilevel"/>
    <w:tmpl w:val="77FC8F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760F5C"/>
    <w:multiLevelType w:val="hybridMultilevel"/>
    <w:tmpl w:val="F92A6FDA"/>
    <w:lvl w:ilvl="0" w:tplc="0C090001">
      <w:start w:val="1"/>
      <w:numFmt w:val="bullet"/>
      <w:lvlText w:val=""/>
      <w:lvlJc w:val="left"/>
      <w:pPr>
        <w:ind w:left="450" w:hanging="45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EA77289"/>
    <w:multiLevelType w:val="hybridMultilevel"/>
    <w:tmpl w:val="96FE2136"/>
    <w:lvl w:ilvl="0" w:tplc="3384BF82">
      <w:start w:val="1"/>
      <w:numFmt w:val="bullet"/>
      <w:pStyle w:val="Bullet1"/>
      <w:lvlText w:val=""/>
      <w:lvlJc w:val="left"/>
      <w:pPr>
        <w:ind w:left="624" w:hanging="34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D4C6E"/>
    <w:multiLevelType w:val="hybridMultilevel"/>
    <w:tmpl w:val="98766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B32DDE"/>
    <w:multiLevelType w:val="hybridMultilevel"/>
    <w:tmpl w:val="F97C9816"/>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7" w15:restartNumberingAfterBreak="0">
    <w:nsid w:val="34E85EB4"/>
    <w:multiLevelType w:val="hybridMultilevel"/>
    <w:tmpl w:val="92462D16"/>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8" w15:restartNumberingAfterBreak="0">
    <w:nsid w:val="39425025"/>
    <w:multiLevelType w:val="hybridMultilevel"/>
    <w:tmpl w:val="BDC83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6D2536"/>
    <w:multiLevelType w:val="hybridMultilevel"/>
    <w:tmpl w:val="33CC9108"/>
    <w:lvl w:ilvl="0" w:tplc="D97880D0">
      <w:start w:val="1"/>
      <w:numFmt w:val="decimal"/>
      <w:lvlText w:val="%1."/>
      <w:lvlJc w:val="left"/>
      <w:pPr>
        <w:ind w:left="1224" w:hanging="36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20" w15:restartNumberingAfterBreak="0">
    <w:nsid w:val="40247465"/>
    <w:multiLevelType w:val="hybridMultilevel"/>
    <w:tmpl w:val="21668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BB73DE"/>
    <w:multiLevelType w:val="hybridMultilevel"/>
    <w:tmpl w:val="1F74E7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725D14"/>
    <w:multiLevelType w:val="hybridMultilevel"/>
    <w:tmpl w:val="47C002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737277"/>
    <w:multiLevelType w:val="hybridMultilevel"/>
    <w:tmpl w:val="328EE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B680A1C"/>
    <w:multiLevelType w:val="hybridMultilevel"/>
    <w:tmpl w:val="EEE68B0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4DF56672"/>
    <w:multiLevelType w:val="hybridMultilevel"/>
    <w:tmpl w:val="F60247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483D16"/>
    <w:multiLevelType w:val="hybridMultilevel"/>
    <w:tmpl w:val="5A8E5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0D11888"/>
    <w:multiLevelType w:val="hybridMultilevel"/>
    <w:tmpl w:val="3208D0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7D261CD"/>
    <w:multiLevelType w:val="hybridMultilevel"/>
    <w:tmpl w:val="84621C22"/>
    <w:lvl w:ilvl="0" w:tplc="68DC1DEC">
      <w:start w:val="1"/>
      <w:numFmt w:val="decimal"/>
      <w:lvlText w:val="%1."/>
      <w:lvlJc w:val="left"/>
      <w:pPr>
        <w:ind w:left="3286" w:hanging="450"/>
      </w:pPr>
      <w:rPr>
        <w:rFonts w:hint="default"/>
      </w:rPr>
    </w:lvl>
    <w:lvl w:ilvl="1" w:tplc="0C090019" w:tentative="1">
      <w:start w:val="1"/>
      <w:numFmt w:val="lowerLetter"/>
      <w:lvlText w:val="%2."/>
      <w:lvlJc w:val="left"/>
      <w:pPr>
        <w:ind w:left="3916" w:hanging="360"/>
      </w:pPr>
    </w:lvl>
    <w:lvl w:ilvl="2" w:tplc="0C09001B" w:tentative="1">
      <w:start w:val="1"/>
      <w:numFmt w:val="lowerRoman"/>
      <w:lvlText w:val="%3."/>
      <w:lvlJc w:val="right"/>
      <w:pPr>
        <w:ind w:left="4636" w:hanging="180"/>
      </w:pPr>
    </w:lvl>
    <w:lvl w:ilvl="3" w:tplc="0C09000F" w:tentative="1">
      <w:start w:val="1"/>
      <w:numFmt w:val="decimal"/>
      <w:lvlText w:val="%4."/>
      <w:lvlJc w:val="left"/>
      <w:pPr>
        <w:ind w:left="5356" w:hanging="360"/>
      </w:pPr>
    </w:lvl>
    <w:lvl w:ilvl="4" w:tplc="0C090019" w:tentative="1">
      <w:start w:val="1"/>
      <w:numFmt w:val="lowerLetter"/>
      <w:lvlText w:val="%5."/>
      <w:lvlJc w:val="left"/>
      <w:pPr>
        <w:ind w:left="6076" w:hanging="360"/>
      </w:pPr>
    </w:lvl>
    <w:lvl w:ilvl="5" w:tplc="0C09001B" w:tentative="1">
      <w:start w:val="1"/>
      <w:numFmt w:val="lowerRoman"/>
      <w:lvlText w:val="%6."/>
      <w:lvlJc w:val="right"/>
      <w:pPr>
        <w:ind w:left="6796" w:hanging="180"/>
      </w:pPr>
    </w:lvl>
    <w:lvl w:ilvl="6" w:tplc="0C09000F" w:tentative="1">
      <w:start w:val="1"/>
      <w:numFmt w:val="decimal"/>
      <w:lvlText w:val="%7."/>
      <w:lvlJc w:val="left"/>
      <w:pPr>
        <w:ind w:left="7516" w:hanging="360"/>
      </w:pPr>
    </w:lvl>
    <w:lvl w:ilvl="7" w:tplc="0C090019" w:tentative="1">
      <w:start w:val="1"/>
      <w:numFmt w:val="lowerLetter"/>
      <w:lvlText w:val="%8."/>
      <w:lvlJc w:val="left"/>
      <w:pPr>
        <w:ind w:left="8236" w:hanging="360"/>
      </w:pPr>
    </w:lvl>
    <w:lvl w:ilvl="8" w:tplc="0C09001B" w:tentative="1">
      <w:start w:val="1"/>
      <w:numFmt w:val="lowerRoman"/>
      <w:lvlText w:val="%9."/>
      <w:lvlJc w:val="right"/>
      <w:pPr>
        <w:ind w:left="8956" w:hanging="180"/>
      </w:pPr>
    </w:lvl>
  </w:abstractNum>
  <w:abstractNum w:abstractNumId="29" w15:restartNumberingAfterBreak="0">
    <w:nsid w:val="5A0F41FF"/>
    <w:multiLevelType w:val="hybridMultilevel"/>
    <w:tmpl w:val="3CA020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F20A73"/>
    <w:multiLevelType w:val="hybridMultilevel"/>
    <w:tmpl w:val="1D8E103C"/>
    <w:lvl w:ilvl="0" w:tplc="1100936C">
      <w:start w:val="1"/>
      <w:numFmt w:val="decimal"/>
      <w:lvlText w:val="%1."/>
      <w:lvlJc w:val="left"/>
      <w:pPr>
        <w:ind w:left="910" w:hanging="55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DA675C8"/>
    <w:multiLevelType w:val="hybridMultilevel"/>
    <w:tmpl w:val="AB0C9EB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E89030E"/>
    <w:multiLevelType w:val="hybridMultilevel"/>
    <w:tmpl w:val="D21AE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1F658A2"/>
    <w:multiLevelType w:val="hybridMultilevel"/>
    <w:tmpl w:val="2710E7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22A253F"/>
    <w:multiLevelType w:val="hybridMultilevel"/>
    <w:tmpl w:val="2CAACF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9A52FC8"/>
    <w:multiLevelType w:val="hybridMultilevel"/>
    <w:tmpl w:val="42506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E160459"/>
    <w:multiLevelType w:val="hybridMultilevel"/>
    <w:tmpl w:val="15E0BB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735773"/>
    <w:multiLevelType w:val="hybridMultilevel"/>
    <w:tmpl w:val="2BF82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8E0772"/>
    <w:multiLevelType w:val="hybridMultilevel"/>
    <w:tmpl w:val="88165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82D3B2A"/>
    <w:multiLevelType w:val="hybridMultilevel"/>
    <w:tmpl w:val="0504E4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AFA11BD"/>
    <w:multiLevelType w:val="hybridMultilevel"/>
    <w:tmpl w:val="51D6C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22"/>
  </w:num>
  <w:num w:numId="3">
    <w:abstractNumId w:val="5"/>
  </w:num>
  <w:num w:numId="4">
    <w:abstractNumId w:val="14"/>
  </w:num>
  <w:num w:numId="5">
    <w:abstractNumId w:val="30"/>
  </w:num>
  <w:num w:numId="6">
    <w:abstractNumId w:val="9"/>
  </w:num>
  <w:num w:numId="7">
    <w:abstractNumId w:val="19"/>
  </w:num>
  <w:num w:numId="8">
    <w:abstractNumId w:val="11"/>
  </w:num>
  <w:num w:numId="9">
    <w:abstractNumId w:val="16"/>
  </w:num>
  <w:num w:numId="10">
    <w:abstractNumId w:val="1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9"/>
  </w:num>
  <w:num w:numId="14">
    <w:abstractNumId w:val="8"/>
  </w:num>
  <w:num w:numId="15">
    <w:abstractNumId w:val="21"/>
  </w:num>
  <w:num w:numId="16">
    <w:abstractNumId w:val="6"/>
  </w:num>
  <w:num w:numId="17">
    <w:abstractNumId w:val="35"/>
  </w:num>
  <w:num w:numId="18">
    <w:abstractNumId w:val="1"/>
  </w:num>
  <w:num w:numId="19">
    <w:abstractNumId w:val="31"/>
  </w:num>
  <w:num w:numId="20">
    <w:abstractNumId w:val="28"/>
  </w:num>
  <w:num w:numId="21">
    <w:abstractNumId w:val="13"/>
  </w:num>
  <w:num w:numId="22">
    <w:abstractNumId w:val="26"/>
  </w:num>
  <w:num w:numId="23">
    <w:abstractNumId w:val="40"/>
  </w:num>
  <w:num w:numId="24">
    <w:abstractNumId w:val="39"/>
  </w:num>
  <w:num w:numId="25">
    <w:abstractNumId w:val="23"/>
  </w:num>
  <w:num w:numId="26">
    <w:abstractNumId w:val="34"/>
  </w:num>
  <w:num w:numId="27">
    <w:abstractNumId w:val="33"/>
  </w:num>
  <w:num w:numId="28">
    <w:abstractNumId w:val="7"/>
  </w:num>
  <w:num w:numId="29">
    <w:abstractNumId w:val="38"/>
  </w:num>
  <w:num w:numId="30">
    <w:abstractNumId w:val="25"/>
  </w:num>
  <w:num w:numId="31">
    <w:abstractNumId w:val="2"/>
  </w:num>
  <w:num w:numId="32">
    <w:abstractNumId w:val="32"/>
  </w:num>
  <w:num w:numId="33">
    <w:abstractNumId w:val="10"/>
  </w:num>
  <w:num w:numId="34">
    <w:abstractNumId w:val="3"/>
  </w:num>
  <w:num w:numId="35">
    <w:abstractNumId w:val="37"/>
  </w:num>
  <w:num w:numId="36">
    <w:abstractNumId w:val="20"/>
  </w:num>
  <w:num w:numId="37">
    <w:abstractNumId w:val="27"/>
  </w:num>
  <w:num w:numId="38">
    <w:abstractNumId w:val="0"/>
  </w:num>
  <w:num w:numId="39">
    <w:abstractNumId w:val="15"/>
  </w:num>
  <w:num w:numId="40">
    <w:abstractNumId w:val="18"/>
  </w:num>
  <w:num w:numId="41">
    <w:abstractNumId w:val="3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FD"/>
    <w:rsid w:val="00003187"/>
    <w:rsid w:val="000109BD"/>
    <w:rsid w:val="00017103"/>
    <w:rsid w:val="00024E89"/>
    <w:rsid w:val="000312DB"/>
    <w:rsid w:val="00043CD3"/>
    <w:rsid w:val="000562FD"/>
    <w:rsid w:val="00062B26"/>
    <w:rsid w:val="00066A00"/>
    <w:rsid w:val="00067C65"/>
    <w:rsid w:val="00073D0B"/>
    <w:rsid w:val="00081A2C"/>
    <w:rsid w:val="00085FE8"/>
    <w:rsid w:val="00086FB4"/>
    <w:rsid w:val="000B36A1"/>
    <w:rsid w:val="000C45A1"/>
    <w:rsid w:val="000E2E59"/>
    <w:rsid w:val="000F201A"/>
    <w:rsid w:val="001332F6"/>
    <w:rsid w:val="00157D89"/>
    <w:rsid w:val="00172360"/>
    <w:rsid w:val="00184483"/>
    <w:rsid w:val="001862F3"/>
    <w:rsid w:val="001931DD"/>
    <w:rsid w:val="001B31BA"/>
    <w:rsid w:val="001C0706"/>
    <w:rsid w:val="001C6C9D"/>
    <w:rsid w:val="00202833"/>
    <w:rsid w:val="00206E57"/>
    <w:rsid w:val="002427FA"/>
    <w:rsid w:val="0028429C"/>
    <w:rsid w:val="00295C6F"/>
    <w:rsid w:val="002A02EC"/>
    <w:rsid w:val="002A4F26"/>
    <w:rsid w:val="002B473C"/>
    <w:rsid w:val="00302217"/>
    <w:rsid w:val="00302E32"/>
    <w:rsid w:val="00303D20"/>
    <w:rsid w:val="00323556"/>
    <w:rsid w:val="00326F5A"/>
    <w:rsid w:val="00347769"/>
    <w:rsid w:val="0034783F"/>
    <w:rsid w:val="00366C14"/>
    <w:rsid w:val="00370FF1"/>
    <w:rsid w:val="00384A1E"/>
    <w:rsid w:val="0038644C"/>
    <w:rsid w:val="003A2096"/>
    <w:rsid w:val="003C38F5"/>
    <w:rsid w:val="003C6453"/>
    <w:rsid w:val="003C7D33"/>
    <w:rsid w:val="00400260"/>
    <w:rsid w:val="00413E43"/>
    <w:rsid w:val="004212F8"/>
    <w:rsid w:val="00423CC9"/>
    <w:rsid w:val="0042770A"/>
    <w:rsid w:val="00432E67"/>
    <w:rsid w:val="004619F9"/>
    <w:rsid w:val="0046782E"/>
    <w:rsid w:val="00473DAF"/>
    <w:rsid w:val="00492411"/>
    <w:rsid w:val="004A0C2D"/>
    <w:rsid w:val="004A505B"/>
    <w:rsid w:val="004B41D3"/>
    <w:rsid w:val="004B6089"/>
    <w:rsid w:val="004C0835"/>
    <w:rsid w:val="004C4F81"/>
    <w:rsid w:val="004D13DF"/>
    <w:rsid w:val="004D6612"/>
    <w:rsid w:val="004E6C56"/>
    <w:rsid w:val="004F0655"/>
    <w:rsid w:val="005053BB"/>
    <w:rsid w:val="00515214"/>
    <w:rsid w:val="00521FE2"/>
    <w:rsid w:val="005242A2"/>
    <w:rsid w:val="00537D9C"/>
    <w:rsid w:val="00542638"/>
    <w:rsid w:val="00543F0B"/>
    <w:rsid w:val="00570F55"/>
    <w:rsid w:val="005839A6"/>
    <w:rsid w:val="005D5562"/>
    <w:rsid w:val="005F2CE6"/>
    <w:rsid w:val="005F3135"/>
    <w:rsid w:val="00626BCF"/>
    <w:rsid w:val="006301DA"/>
    <w:rsid w:val="00640784"/>
    <w:rsid w:val="00641449"/>
    <w:rsid w:val="006577D8"/>
    <w:rsid w:val="00657C15"/>
    <w:rsid w:val="006658C7"/>
    <w:rsid w:val="00674051"/>
    <w:rsid w:val="006A4164"/>
    <w:rsid w:val="006A7CC2"/>
    <w:rsid w:val="006B2C98"/>
    <w:rsid w:val="006B3D05"/>
    <w:rsid w:val="006E0521"/>
    <w:rsid w:val="006F06CD"/>
    <w:rsid w:val="006F09CA"/>
    <w:rsid w:val="006F1300"/>
    <w:rsid w:val="006F7420"/>
    <w:rsid w:val="00702D5F"/>
    <w:rsid w:val="007370BE"/>
    <w:rsid w:val="00754023"/>
    <w:rsid w:val="0075542F"/>
    <w:rsid w:val="00762EFC"/>
    <w:rsid w:val="00764359"/>
    <w:rsid w:val="0077732B"/>
    <w:rsid w:val="00783AC0"/>
    <w:rsid w:val="007B5155"/>
    <w:rsid w:val="007E4B4E"/>
    <w:rsid w:val="007E7916"/>
    <w:rsid w:val="007F481B"/>
    <w:rsid w:val="00804E15"/>
    <w:rsid w:val="00810EDD"/>
    <w:rsid w:val="00850F66"/>
    <w:rsid w:val="00867AF1"/>
    <w:rsid w:val="00875613"/>
    <w:rsid w:val="00887A0C"/>
    <w:rsid w:val="008A4A8E"/>
    <w:rsid w:val="008B5E3C"/>
    <w:rsid w:val="008C3FF4"/>
    <w:rsid w:val="008D07B8"/>
    <w:rsid w:val="008D656A"/>
    <w:rsid w:val="008D6B77"/>
    <w:rsid w:val="008E29F9"/>
    <w:rsid w:val="009005B5"/>
    <w:rsid w:val="009014DB"/>
    <w:rsid w:val="00901674"/>
    <w:rsid w:val="00902712"/>
    <w:rsid w:val="00907B30"/>
    <w:rsid w:val="009107F0"/>
    <w:rsid w:val="009167FF"/>
    <w:rsid w:val="00937F15"/>
    <w:rsid w:val="00967619"/>
    <w:rsid w:val="009C2392"/>
    <w:rsid w:val="009C7CB1"/>
    <w:rsid w:val="009D4B7F"/>
    <w:rsid w:val="009D6136"/>
    <w:rsid w:val="009E280D"/>
    <w:rsid w:val="00A076F1"/>
    <w:rsid w:val="00A35BC1"/>
    <w:rsid w:val="00A557C2"/>
    <w:rsid w:val="00A66B18"/>
    <w:rsid w:val="00A80778"/>
    <w:rsid w:val="00A84CD8"/>
    <w:rsid w:val="00A8571B"/>
    <w:rsid w:val="00A86A0C"/>
    <w:rsid w:val="00A8707B"/>
    <w:rsid w:val="00A961B5"/>
    <w:rsid w:val="00AA14A6"/>
    <w:rsid w:val="00AB7FF0"/>
    <w:rsid w:val="00AF25EE"/>
    <w:rsid w:val="00AF3E29"/>
    <w:rsid w:val="00B02191"/>
    <w:rsid w:val="00B1437A"/>
    <w:rsid w:val="00B42569"/>
    <w:rsid w:val="00B56C24"/>
    <w:rsid w:val="00B6794D"/>
    <w:rsid w:val="00B728DA"/>
    <w:rsid w:val="00B9508B"/>
    <w:rsid w:val="00BD39E3"/>
    <w:rsid w:val="00BF7006"/>
    <w:rsid w:val="00C130E6"/>
    <w:rsid w:val="00C1456E"/>
    <w:rsid w:val="00C22010"/>
    <w:rsid w:val="00C237DE"/>
    <w:rsid w:val="00C420FF"/>
    <w:rsid w:val="00C55D68"/>
    <w:rsid w:val="00C57925"/>
    <w:rsid w:val="00C77E51"/>
    <w:rsid w:val="00C94C00"/>
    <w:rsid w:val="00CA52A0"/>
    <w:rsid w:val="00CB39E1"/>
    <w:rsid w:val="00CC5307"/>
    <w:rsid w:val="00CD3DD4"/>
    <w:rsid w:val="00CD43A2"/>
    <w:rsid w:val="00CD511D"/>
    <w:rsid w:val="00CD5315"/>
    <w:rsid w:val="00CE3270"/>
    <w:rsid w:val="00CE753D"/>
    <w:rsid w:val="00CF0E5D"/>
    <w:rsid w:val="00CF6AE2"/>
    <w:rsid w:val="00D411D9"/>
    <w:rsid w:val="00D93B97"/>
    <w:rsid w:val="00DB01B9"/>
    <w:rsid w:val="00DB1DCA"/>
    <w:rsid w:val="00DB64CB"/>
    <w:rsid w:val="00DF0629"/>
    <w:rsid w:val="00DF1AC7"/>
    <w:rsid w:val="00E1755A"/>
    <w:rsid w:val="00E24BF6"/>
    <w:rsid w:val="00E33A53"/>
    <w:rsid w:val="00E7507F"/>
    <w:rsid w:val="00E77A0A"/>
    <w:rsid w:val="00EA6585"/>
    <w:rsid w:val="00EC3E3D"/>
    <w:rsid w:val="00EE07DD"/>
    <w:rsid w:val="00EF22D7"/>
    <w:rsid w:val="00EF6C86"/>
    <w:rsid w:val="00F16CFC"/>
    <w:rsid w:val="00F22278"/>
    <w:rsid w:val="00F34C20"/>
    <w:rsid w:val="00F40E66"/>
    <w:rsid w:val="00F43A50"/>
    <w:rsid w:val="00F46566"/>
    <w:rsid w:val="00F924A4"/>
    <w:rsid w:val="00F9390C"/>
    <w:rsid w:val="00F96003"/>
    <w:rsid w:val="00FC6530"/>
    <w:rsid w:val="00FD6668"/>
    <w:rsid w:val="00FD6A25"/>
    <w:rsid w:val="00FD7AA5"/>
    <w:rsid w:val="00FE286A"/>
    <w:rsid w:val="00FE6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5C4B2D"/>
  <w15:chartTrackingRefBased/>
  <w15:docId w15:val="{B491558C-4EDC-441C-8006-6DC7FDED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2FD"/>
    <w:pPr>
      <w:pBdr>
        <w:top w:val="nil"/>
        <w:left w:val="nil"/>
        <w:bottom w:val="nil"/>
        <w:right w:val="nil"/>
        <w:between w:val="nil"/>
      </w:pBdr>
      <w:spacing w:before="120" w:after="0" w:line="276" w:lineRule="auto"/>
    </w:pPr>
    <w:rPr>
      <w:rFonts w:ascii="Arial" w:eastAsia="Arial" w:hAnsi="Arial" w:cs="Arial"/>
      <w:color w:val="000000"/>
      <w:sz w:val="24"/>
      <w:lang w:val="en" w:eastAsia="en-AU"/>
    </w:rPr>
  </w:style>
  <w:style w:type="paragraph" w:styleId="Heading1">
    <w:name w:val="heading 1"/>
    <w:basedOn w:val="Normal"/>
    <w:next w:val="Normal"/>
    <w:link w:val="Heading1Char"/>
    <w:uiPriority w:val="9"/>
    <w:qFormat/>
    <w:rsid w:val="00A961B5"/>
    <w:pPr>
      <w:keepNext/>
      <w:keepLines/>
      <w:spacing w:before="240"/>
      <w:outlineLvl w:val="0"/>
    </w:pPr>
    <w:rPr>
      <w:rFonts w:eastAsiaTheme="majorEastAsia" w:cstheme="majorBidi"/>
      <w:b/>
      <w:color w:val="2F5496" w:themeColor="accent5" w:themeShade="BF"/>
      <w:sz w:val="36"/>
      <w:szCs w:val="32"/>
    </w:rPr>
  </w:style>
  <w:style w:type="paragraph" w:styleId="Heading2">
    <w:name w:val="heading 2"/>
    <w:basedOn w:val="Normal"/>
    <w:next w:val="Normal"/>
    <w:link w:val="Heading2Char"/>
    <w:uiPriority w:val="9"/>
    <w:unhideWhenUsed/>
    <w:qFormat/>
    <w:rsid w:val="00A961B5"/>
    <w:pPr>
      <w:keepNext/>
      <w:keepLines/>
      <w:spacing w:before="40"/>
      <w:outlineLvl w:val="1"/>
    </w:pPr>
    <w:rPr>
      <w:rFonts w:eastAsiaTheme="majorEastAsia" w:cstheme="majorBidi"/>
      <w:color w:val="2F5496" w:themeColor="accent5" w:themeShade="BF"/>
      <w:sz w:val="32"/>
      <w:szCs w:val="26"/>
    </w:rPr>
  </w:style>
  <w:style w:type="paragraph" w:styleId="Heading3">
    <w:name w:val="heading 3"/>
    <w:basedOn w:val="Normal"/>
    <w:next w:val="Normal"/>
    <w:link w:val="Heading3Char"/>
    <w:uiPriority w:val="9"/>
    <w:unhideWhenUsed/>
    <w:qFormat/>
    <w:rsid w:val="006B3D05"/>
    <w:pPr>
      <w:keepNext/>
      <w:keepLines/>
      <w:spacing w:before="40"/>
      <w:outlineLvl w:val="2"/>
    </w:pPr>
    <w:rPr>
      <w:rFonts w:eastAsiaTheme="majorEastAsia" w:cstheme="majorBidi"/>
      <w:color w:val="2F5496" w:themeColor="accent5" w:themeShade="B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st level bullet point,List Paragraph1,List Paragraph11,Bullet point,List Paragraph Number,Recommendation,Bulleted Para,NFP GP Bulleted List,bullet point list,L,Bullet points,Content descriptions,Bullet Point,List Paragraph2,Dot Point"/>
    <w:basedOn w:val="Normal"/>
    <w:link w:val="ListParagraphChar"/>
    <w:uiPriority w:val="34"/>
    <w:qFormat/>
    <w:rsid w:val="006301DA"/>
    <w:pPr>
      <w:ind w:left="720"/>
      <w:contextualSpacing/>
    </w:pPr>
  </w:style>
  <w:style w:type="paragraph" w:customStyle="1" w:styleId="Bullet1">
    <w:name w:val="Bullet1"/>
    <w:basedOn w:val="Normal"/>
    <w:rsid w:val="001332F6"/>
    <w:pPr>
      <w:numPr>
        <w:numId w:val="4"/>
      </w:numPr>
      <w:spacing w:before="60"/>
      <w:ind w:left="567"/>
    </w:pPr>
  </w:style>
  <w:style w:type="paragraph" w:styleId="IntenseQuote">
    <w:name w:val="Intense Quote"/>
    <w:basedOn w:val="Normal"/>
    <w:next w:val="Normal"/>
    <w:link w:val="IntenseQuoteChar"/>
    <w:uiPriority w:val="30"/>
    <w:qFormat/>
    <w:rsid w:val="001332F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332F6"/>
    <w:rPr>
      <w:rFonts w:ascii="Arial" w:eastAsia="Arial" w:hAnsi="Arial" w:cs="Arial"/>
      <w:i/>
      <w:iCs/>
      <w:color w:val="5B9BD5" w:themeColor="accent1"/>
      <w:sz w:val="24"/>
      <w:lang w:val="en" w:eastAsia="en-AU"/>
    </w:rPr>
  </w:style>
  <w:style w:type="character" w:styleId="Hyperlink">
    <w:name w:val="Hyperlink"/>
    <w:basedOn w:val="DefaultParagraphFont"/>
    <w:uiPriority w:val="99"/>
    <w:unhideWhenUsed/>
    <w:rsid w:val="004B41D3"/>
    <w:rPr>
      <w:color w:val="0563C1"/>
      <w:u w:val="single"/>
    </w:rPr>
  </w:style>
  <w:style w:type="paragraph" w:styleId="BodyText">
    <w:name w:val="Body Text"/>
    <w:basedOn w:val="Normal"/>
    <w:link w:val="BodyTextChar"/>
    <w:uiPriority w:val="1"/>
    <w:semiHidden/>
    <w:unhideWhenUsed/>
    <w:rsid w:val="004B41D3"/>
    <w:pPr>
      <w:pBdr>
        <w:top w:val="none" w:sz="0" w:space="0" w:color="auto"/>
        <w:left w:val="none" w:sz="0" w:space="0" w:color="auto"/>
        <w:bottom w:val="none" w:sz="0" w:space="0" w:color="auto"/>
        <w:right w:val="none" w:sz="0" w:space="0" w:color="auto"/>
        <w:between w:val="none" w:sz="0" w:space="0" w:color="auto"/>
      </w:pBdr>
      <w:autoSpaceDE w:val="0"/>
      <w:autoSpaceDN w:val="0"/>
      <w:spacing w:before="0" w:line="240" w:lineRule="auto"/>
    </w:pPr>
    <w:rPr>
      <w:rFonts w:ascii="Times New Roman" w:eastAsiaTheme="minorHAnsi" w:hAnsi="Times New Roman" w:cs="Times New Roman"/>
      <w:color w:val="auto"/>
      <w:sz w:val="26"/>
      <w:szCs w:val="26"/>
      <w:lang w:val="en-AU" w:eastAsia="en-GB"/>
    </w:rPr>
  </w:style>
  <w:style w:type="character" w:customStyle="1" w:styleId="BodyTextChar">
    <w:name w:val="Body Text Char"/>
    <w:basedOn w:val="DefaultParagraphFont"/>
    <w:link w:val="BodyText"/>
    <w:uiPriority w:val="1"/>
    <w:semiHidden/>
    <w:rsid w:val="004B41D3"/>
    <w:rPr>
      <w:rFonts w:ascii="Times New Roman" w:hAnsi="Times New Roman" w:cs="Times New Roman"/>
      <w:sz w:val="26"/>
      <w:szCs w:val="26"/>
      <w:lang w:eastAsia="en-GB"/>
    </w:rPr>
  </w:style>
  <w:style w:type="paragraph" w:customStyle="1" w:styleId="MainHeading">
    <w:name w:val="Main Heading"/>
    <w:basedOn w:val="Normal"/>
    <w:next w:val="Normal"/>
    <w:rsid w:val="004B41D3"/>
    <w:pPr>
      <w:pBdr>
        <w:top w:val="none" w:sz="0" w:space="0" w:color="auto"/>
        <w:left w:val="none" w:sz="0" w:space="0" w:color="auto"/>
        <w:bottom w:val="single" w:sz="18" w:space="1" w:color="280071"/>
        <w:right w:val="none" w:sz="0" w:space="0" w:color="auto"/>
        <w:between w:val="none" w:sz="0" w:space="0" w:color="auto"/>
      </w:pBdr>
      <w:spacing w:after="360" w:line="264" w:lineRule="auto"/>
    </w:pPr>
    <w:rPr>
      <w:rFonts w:eastAsia="MS Mincho" w:cs="Times New Roman"/>
      <w:b/>
      <w:bCs/>
      <w:color w:val="280071"/>
      <w:sz w:val="36"/>
      <w:szCs w:val="36"/>
      <w:lang w:val="en-AU" w:eastAsia="en-US"/>
    </w:rPr>
  </w:style>
  <w:style w:type="character" w:customStyle="1" w:styleId="Heading1Char">
    <w:name w:val="Heading 1 Char"/>
    <w:basedOn w:val="DefaultParagraphFont"/>
    <w:link w:val="Heading1"/>
    <w:uiPriority w:val="9"/>
    <w:rsid w:val="00A961B5"/>
    <w:rPr>
      <w:rFonts w:ascii="Arial" w:eastAsiaTheme="majorEastAsia" w:hAnsi="Arial" w:cstheme="majorBidi"/>
      <w:b/>
      <w:color w:val="2F5496" w:themeColor="accent5" w:themeShade="BF"/>
      <w:sz w:val="36"/>
      <w:szCs w:val="32"/>
      <w:lang w:val="en" w:eastAsia="en-AU"/>
    </w:rPr>
  </w:style>
  <w:style w:type="character" w:customStyle="1" w:styleId="Heading2Char">
    <w:name w:val="Heading 2 Char"/>
    <w:basedOn w:val="DefaultParagraphFont"/>
    <w:link w:val="Heading2"/>
    <w:uiPriority w:val="9"/>
    <w:rsid w:val="00A961B5"/>
    <w:rPr>
      <w:rFonts w:ascii="Arial" w:eastAsiaTheme="majorEastAsia" w:hAnsi="Arial" w:cstheme="majorBidi"/>
      <w:color w:val="2F5496" w:themeColor="accent5" w:themeShade="BF"/>
      <w:sz w:val="32"/>
      <w:szCs w:val="26"/>
      <w:lang w:val="en" w:eastAsia="en-AU"/>
    </w:rPr>
  </w:style>
  <w:style w:type="character" w:styleId="CommentReference">
    <w:name w:val="annotation reference"/>
    <w:basedOn w:val="DefaultParagraphFont"/>
    <w:uiPriority w:val="99"/>
    <w:semiHidden/>
    <w:unhideWhenUsed/>
    <w:rsid w:val="00A961B5"/>
    <w:rPr>
      <w:sz w:val="16"/>
      <w:szCs w:val="16"/>
    </w:rPr>
  </w:style>
  <w:style w:type="paragraph" w:styleId="CommentText">
    <w:name w:val="annotation text"/>
    <w:basedOn w:val="Normal"/>
    <w:link w:val="CommentTextChar"/>
    <w:uiPriority w:val="99"/>
    <w:semiHidden/>
    <w:unhideWhenUsed/>
    <w:rsid w:val="00A961B5"/>
    <w:pPr>
      <w:spacing w:line="240" w:lineRule="auto"/>
    </w:pPr>
    <w:rPr>
      <w:sz w:val="20"/>
      <w:szCs w:val="20"/>
    </w:rPr>
  </w:style>
  <w:style w:type="character" w:customStyle="1" w:styleId="CommentTextChar">
    <w:name w:val="Comment Text Char"/>
    <w:basedOn w:val="DefaultParagraphFont"/>
    <w:link w:val="CommentText"/>
    <w:uiPriority w:val="99"/>
    <w:semiHidden/>
    <w:rsid w:val="00A961B5"/>
    <w:rPr>
      <w:rFonts w:ascii="Arial" w:eastAsia="Arial" w:hAnsi="Arial" w:cs="Arial"/>
      <w:color w:val="000000"/>
      <w:sz w:val="20"/>
      <w:szCs w:val="20"/>
      <w:lang w:val="en" w:eastAsia="en-AU"/>
    </w:rPr>
  </w:style>
  <w:style w:type="paragraph" w:styleId="BalloonText">
    <w:name w:val="Balloon Text"/>
    <w:basedOn w:val="Normal"/>
    <w:link w:val="BalloonTextChar"/>
    <w:uiPriority w:val="99"/>
    <w:semiHidden/>
    <w:unhideWhenUsed/>
    <w:rsid w:val="00A961B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1B5"/>
    <w:rPr>
      <w:rFonts w:ascii="Segoe UI" w:eastAsia="Arial" w:hAnsi="Segoe UI" w:cs="Segoe UI"/>
      <w:color w:val="000000"/>
      <w:sz w:val="18"/>
      <w:szCs w:val="18"/>
      <w:lang w:val="en" w:eastAsia="en-AU"/>
    </w:rPr>
  </w:style>
  <w:style w:type="character" w:customStyle="1" w:styleId="Heading3Char">
    <w:name w:val="Heading 3 Char"/>
    <w:basedOn w:val="DefaultParagraphFont"/>
    <w:link w:val="Heading3"/>
    <w:uiPriority w:val="9"/>
    <w:rsid w:val="006B3D05"/>
    <w:rPr>
      <w:rFonts w:ascii="Arial" w:eastAsiaTheme="majorEastAsia" w:hAnsi="Arial" w:cstheme="majorBidi"/>
      <w:color w:val="2F5496" w:themeColor="accent5" w:themeShade="BF"/>
      <w:sz w:val="28"/>
      <w:szCs w:val="24"/>
      <w:lang w:val="en" w:eastAsia="en-AU"/>
    </w:rPr>
  </w:style>
  <w:style w:type="paragraph" w:styleId="NoSpacing">
    <w:name w:val="No Spacing"/>
    <w:uiPriority w:val="1"/>
    <w:qFormat/>
    <w:rsid w:val="006B3D05"/>
    <w:pPr>
      <w:pBdr>
        <w:top w:val="nil"/>
        <w:left w:val="nil"/>
        <w:bottom w:val="nil"/>
        <w:right w:val="nil"/>
        <w:between w:val="nil"/>
      </w:pBdr>
      <w:spacing w:after="0" w:line="240" w:lineRule="auto"/>
    </w:pPr>
    <w:rPr>
      <w:rFonts w:ascii="Arial" w:eastAsia="Arial" w:hAnsi="Arial" w:cs="Arial"/>
      <w:color w:val="000000"/>
      <w:sz w:val="24"/>
      <w:lang w:val="en" w:eastAsia="en-AU"/>
    </w:rPr>
  </w:style>
  <w:style w:type="paragraph" w:styleId="Header">
    <w:name w:val="header"/>
    <w:basedOn w:val="Normal"/>
    <w:link w:val="HeaderChar"/>
    <w:uiPriority w:val="99"/>
    <w:unhideWhenUsed/>
    <w:rsid w:val="00326F5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26F5A"/>
    <w:rPr>
      <w:rFonts w:ascii="Arial" w:eastAsia="Arial" w:hAnsi="Arial" w:cs="Arial"/>
      <w:color w:val="000000"/>
      <w:sz w:val="24"/>
      <w:lang w:val="en" w:eastAsia="en-AU"/>
    </w:rPr>
  </w:style>
  <w:style w:type="paragraph" w:styleId="Footer">
    <w:name w:val="footer"/>
    <w:basedOn w:val="Normal"/>
    <w:link w:val="FooterChar"/>
    <w:uiPriority w:val="99"/>
    <w:unhideWhenUsed/>
    <w:rsid w:val="00326F5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26F5A"/>
    <w:rPr>
      <w:rFonts w:ascii="Arial" w:eastAsia="Arial" w:hAnsi="Arial" w:cs="Arial"/>
      <w:color w:val="000000"/>
      <w:sz w:val="24"/>
      <w:lang w:val="en" w:eastAsia="en-AU"/>
    </w:rPr>
  </w:style>
  <w:style w:type="paragraph" w:styleId="CommentSubject">
    <w:name w:val="annotation subject"/>
    <w:basedOn w:val="CommentText"/>
    <w:next w:val="CommentText"/>
    <w:link w:val="CommentSubjectChar"/>
    <w:uiPriority w:val="99"/>
    <w:semiHidden/>
    <w:unhideWhenUsed/>
    <w:rsid w:val="00B56C24"/>
    <w:rPr>
      <w:b/>
      <w:bCs/>
    </w:rPr>
  </w:style>
  <w:style w:type="character" w:customStyle="1" w:styleId="CommentSubjectChar">
    <w:name w:val="Comment Subject Char"/>
    <w:basedOn w:val="CommentTextChar"/>
    <w:link w:val="CommentSubject"/>
    <w:uiPriority w:val="99"/>
    <w:semiHidden/>
    <w:rsid w:val="00B56C24"/>
    <w:rPr>
      <w:rFonts w:ascii="Arial" w:eastAsia="Arial" w:hAnsi="Arial" w:cs="Arial"/>
      <w:b/>
      <w:bCs/>
      <w:color w:val="000000"/>
      <w:sz w:val="20"/>
      <w:szCs w:val="20"/>
      <w:lang w:val="en" w:eastAsia="en-AU"/>
    </w:rPr>
  </w:style>
  <w:style w:type="paragraph" w:styleId="TOCHeading">
    <w:name w:val="TOC Heading"/>
    <w:basedOn w:val="Heading1"/>
    <w:next w:val="Normal"/>
    <w:uiPriority w:val="39"/>
    <w:unhideWhenUsed/>
    <w:qFormat/>
    <w:rsid w:val="00A66B18"/>
    <w:pPr>
      <w:pBdr>
        <w:top w:val="none" w:sz="0" w:space="0" w:color="auto"/>
        <w:left w:val="none" w:sz="0" w:space="0" w:color="auto"/>
        <w:bottom w:val="none" w:sz="0" w:space="0" w:color="auto"/>
        <w:right w:val="none" w:sz="0" w:space="0" w:color="auto"/>
        <w:between w:val="none" w:sz="0" w:space="0" w:color="auto"/>
      </w:pBdr>
      <w:spacing w:line="259" w:lineRule="auto"/>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A66B18"/>
    <w:pPr>
      <w:spacing w:after="100"/>
    </w:pPr>
  </w:style>
  <w:style w:type="paragraph" w:styleId="TOC2">
    <w:name w:val="toc 2"/>
    <w:basedOn w:val="Normal"/>
    <w:next w:val="Normal"/>
    <w:autoRedefine/>
    <w:uiPriority w:val="39"/>
    <w:unhideWhenUsed/>
    <w:rsid w:val="00515214"/>
    <w:pPr>
      <w:tabs>
        <w:tab w:val="right" w:leader="dot" w:pos="9016"/>
      </w:tabs>
      <w:spacing w:after="100"/>
      <w:ind w:left="240"/>
    </w:pPr>
    <w:rPr>
      <w:noProof/>
    </w:rPr>
  </w:style>
  <w:style w:type="paragraph" w:styleId="TOC3">
    <w:name w:val="toc 3"/>
    <w:basedOn w:val="Normal"/>
    <w:next w:val="Normal"/>
    <w:autoRedefine/>
    <w:uiPriority w:val="39"/>
    <w:unhideWhenUsed/>
    <w:rsid w:val="00A66B18"/>
    <w:pPr>
      <w:spacing w:after="100"/>
      <w:ind w:left="480"/>
    </w:pPr>
  </w:style>
  <w:style w:type="character" w:customStyle="1" w:styleId="ListParagraphChar">
    <w:name w:val="List Paragraph Char"/>
    <w:aliases w:val="First level bullet point Char,List Paragraph1 Char,List Paragraph11 Char,Bullet point Char,List Paragraph Number Char,Recommendation Char,Bulleted Para Char,NFP GP Bulleted List Char,bullet point list Char,L Char,Bullet points Char"/>
    <w:basedOn w:val="DefaultParagraphFont"/>
    <w:link w:val="ListParagraph"/>
    <w:uiPriority w:val="34"/>
    <w:locked/>
    <w:rsid w:val="00937F15"/>
    <w:rPr>
      <w:rFonts w:ascii="Arial" w:eastAsia="Arial" w:hAnsi="Arial" w:cs="Arial"/>
      <w:color w:val="000000"/>
      <w:sz w:val="24"/>
      <w:lang w:val="en" w:eastAsia="en-AU"/>
    </w:rPr>
  </w:style>
  <w:style w:type="paragraph" w:styleId="Title">
    <w:name w:val="Title"/>
    <w:basedOn w:val="Normal"/>
    <w:next w:val="Normal"/>
    <w:link w:val="TitleChar"/>
    <w:uiPriority w:val="10"/>
    <w:qFormat/>
    <w:rsid w:val="00C1456E"/>
    <w:pPr>
      <w:pBdr>
        <w:top w:val="none" w:sz="0" w:space="0" w:color="auto"/>
        <w:left w:val="none" w:sz="0" w:space="0" w:color="auto"/>
        <w:bottom w:val="single" w:sz="8" w:space="4" w:color="5B9BD5" w:themeColor="accent1"/>
        <w:right w:val="none" w:sz="0" w:space="0" w:color="auto"/>
        <w:between w:val="none" w:sz="0" w:space="0" w:color="auto"/>
      </w:pBdr>
      <w:spacing w:before="0" w:after="300" w:line="240" w:lineRule="auto"/>
      <w:contextualSpacing/>
    </w:pPr>
    <w:rPr>
      <w:rFonts w:asciiTheme="majorHAnsi" w:eastAsiaTheme="majorEastAsia" w:hAnsiTheme="majorHAnsi" w:cstheme="majorBidi"/>
      <w:color w:val="323E4F" w:themeColor="text2" w:themeShade="BF"/>
      <w:spacing w:val="5"/>
      <w:kern w:val="28"/>
      <w:sz w:val="52"/>
      <w:szCs w:val="52"/>
      <w:lang w:val="en-AU" w:eastAsia="en-US"/>
    </w:rPr>
  </w:style>
  <w:style w:type="character" w:customStyle="1" w:styleId="TitleChar">
    <w:name w:val="Title Char"/>
    <w:basedOn w:val="DefaultParagraphFont"/>
    <w:link w:val="Title"/>
    <w:uiPriority w:val="10"/>
    <w:rsid w:val="00C1456E"/>
    <w:rPr>
      <w:rFonts w:asciiTheme="majorHAnsi" w:eastAsiaTheme="majorEastAsia" w:hAnsiTheme="majorHAnsi" w:cstheme="majorBidi"/>
      <w:color w:val="323E4F" w:themeColor="text2" w:themeShade="BF"/>
      <w:spacing w:val="5"/>
      <w:kern w:val="28"/>
      <w:sz w:val="52"/>
      <w:szCs w:val="52"/>
    </w:rPr>
  </w:style>
  <w:style w:type="paragraph" w:styleId="PlainText">
    <w:name w:val="Plain Text"/>
    <w:basedOn w:val="Normal"/>
    <w:link w:val="PlainTextChar"/>
    <w:uiPriority w:val="99"/>
    <w:semiHidden/>
    <w:unhideWhenUsed/>
    <w:rsid w:val="00DB64CB"/>
    <w:pPr>
      <w:spacing w:before="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B64CB"/>
    <w:rPr>
      <w:rFonts w:ascii="Consolas" w:eastAsia="Arial" w:hAnsi="Consolas" w:cs="Arial"/>
      <w:color w:val="000000"/>
      <w:sz w:val="21"/>
      <w:szCs w:val="21"/>
      <w:lang w:val="en" w:eastAsia="en-AU"/>
    </w:rPr>
  </w:style>
  <w:style w:type="paragraph" w:styleId="Revision">
    <w:name w:val="Revision"/>
    <w:hidden/>
    <w:uiPriority w:val="99"/>
    <w:semiHidden/>
    <w:rsid w:val="00515214"/>
    <w:pPr>
      <w:spacing w:after="0" w:line="240" w:lineRule="auto"/>
    </w:pPr>
    <w:rPr>
      <w:rFonts w:ascii="Arial" w:eastAsia="Arial" w:hAnsi="Arial" w:cs="Arial"/>
      <w:color w:val="000000"/>
      <w:sz w:val="24"/>
      <w:lang w:val="en"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6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qdn.org.au/projects/changing-lives-changing-communities/" TargetMode="External"/><Relationship Id="rId18" Type="http://schemas.openxmlformats.org/officeDocument/2006/relationships/hyperlink" Target="https://www.aph.gov.au/Parliamentary_Business/Committees/Joint/National_Disability_Insurance_Scheme/General_NDIS/Report/b02" TargetMode="External"/><Relationship Id="rId26" Type="http://schemas.openxmlformats.org/officeDocument/2006/relationships/hyperlink" Target="https://www.pc.gov.au/inquiries/completed/disability-agreement" TargetMode="External"/><Relationship Id="rId3" Type="http://schemas.openxmlformats.org/officeDocument/2006/relationships/styles" Target="styles.xml"/><Relationship Id="rId21" Type="http://schemas.openxmlformats.org/officeDocument/2006/relationships/hyperlink" Target="https://qdn.org.au/wp-content/uploads/2018/06/QDN-Going-for-gold-position-paper.pdf" TargetMode="External"/><Relationship Id="rId7" Type="http://schemas.openxmlformats.org/officeDocument/2006/relationships/endnotes" Target="endnotes.xml"/><Relationship Id="rId12" Type="http://schemas.openxmlformats.org/officeDocument/2006/relationships/hyperlink" Target="https://qdn.org.au/our-work/peer-to-peer-advocacy/" TargetMode="External"/><Relationship Id="rId17" Type="http://schemas.openxmlformats.org/officeDocument/2006/relationships/hyperlink" Target="https://qdn.org.au/wp-content/uploads/2018/06/QDN-Going-for-gold-position-paper.pdf" TargetMode="External"/><Relationship Id="rId25" Type="http://schemas.openxmlformats.org/officeDocument/2006/relationships/hyperlink" Target="https://qdn.org.au/wp-content/uploads/2019/04/QDN-Submission-Third-Review-of-the-Disability-Stardards-for-Accessible-Public-Transport-FINAL-031218.pdf" TargetMode="External"/><Relationship Id="rId2" Type="http://schemas.openxmlformats.org/officeDocument/2006/relationships/numbering" Target="numbering.xml"/><Relationship Id="rId16" Type="http://schemas.openxmlformats.org/officeDocument/2006/relationships/hyperlink" Target="https://qdn.org.au/hot-issues/energy/" TargetMode="External"/><Relationship Id="rId20" Type="http://schemas.openxmlformats.org/officeDocument/2006/relationships/hyperlink" Target="https://www.aph.gov.au/Parliamentary_Business/Committees/Joint/National_Disability_Insurance_Scheme/General_NDIS/Report" TargetMode="External"/><Relationship Id="rId29" Type="http://schemas.openxmlformats.org/officeDocument/2006/relationships/hyperlink" Target="https://www.pc.gov.au/inquiries/completed/disability-agre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dn.org.au/our-work/local-support-groups/" TargetMode="External"/><Relationship Id="rId24" Type="http://schemas.openxmlformats.org/officeDocument/2006/relationships/hyperlink" Target="https://everybodyshome.com.au/our-campaig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qdn.org.au/our-work/ready-to-go/" TargetMode="External"/><Relationship Id="rId23" Type="http://schemas.openxmlformats.org/officeDocument/2006/relationships/hyperlink" Target="https://www.dss.gov.au/disability-and-carers-programs-services-government-international-disability-reform-council/review-of-the-sda-pricing-and-payments-framework" TargetMode="External"/><Relationship Id="rId28" Type="http://schemas.openxmlformats.org/officeDocument/2006/relationships/hyperlink" Target="https://www.pc.gov.au/inquiries/completed/disability-agreement" TargetMode="External"/><Relationship Id="rId10" Type="http://schemas.openxmlformats.org/officeDocument/2006/relationships/hyperlink" Target="http://www.qdn.org.au" TargetMode="External"/><Relationship Id="rId19" Type="http://schemas.openxmlformats.org/officeDocument/2006/relationships/hyperlink" Target="https://www.aph.gov.au/Parliamentary_Business/Committees/Joint/National_Disability_Insurance_Scheme/General_NDIS/Report/b0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qdn.org.au" TargetMode="External"/><Relationship Id="rId14" Type="http://schemas.openxmlformats.org/officeDocument/2006/relationships/hyperlink" Target="https://qdn.org.au/our-work/getting-on-the-ndis-grid/" TargetMode="External"/><Relationship Id="rId22" Type="http://schemas.openxmlformats.org/officeDocument/2006/relationships/hyperlink" Target="https://pwd.org.au/wp-content/uploads/2019/02/SB01022019-Treasury-Pre-Budget-Submission.pdf" TargetMode="External"/><Relationship Id="rId27" Type="http://schemas.openxmlformats.org/officeDocument/2006/relationships/hyperlink" Target="https://engage.dss.gov.au/a-new-national-disability-strategy-for-beyond-202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36B2D-222D-485A-92AF-8304FDF6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8D542DE6</Template>
  <TotalTime>0</TotalTime>
  <Pages>14</Pages>
  <Words>4144</Words>
  <Characters>23624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Sharyn McManus</dc:creator>
  <cp:keywords/>
  <dc:description/>
  <cp:lastModifiedBy>Sharyn McManus</cp:lastModifiedBy>
  <cp:revision>2</cp:revision>
  <cp:lastPrinted>2019-04-15T06:30:00Z</cp:lastPrinted>
  <dcterms:created xsi:type="dcterms:W3CDTF">2019-04-15T06:32:00Z</dcterms:created>
  <dcterms:modified xsi:type="dcterms:W3CDTF">2019-04-15T06:32:00Z</dcterms:modified>
</cp:coreProperties>
</file>