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4C" w:rsidRDefault="0045504C" w:rsidP="0045504C">
      <w:pPr>
        <w:pStyle w:val="Heading1"/>
      </w:pPr>
      <w:bookmarkStart w:id="0" w:name="_Toc418002714"/>
      <w:bookmarkStart w:id="1" w:name="_Toc418002770"/>
      <w:bookmarkStart w:id="2" w:name="_Toc418057654"/>
      <w:bookmarkStart w:id="3" w:name="_GoBack"/>
      <w:bookmarkEnd w:id="3"/>
    </w:p>
    <w:bookmarkEnd w:id="0"/>
    <w:bookmarkEnd w:id="1"/>
    <w:bookmarkEnd w:id="2"/>
    <w:p w:rsidR="0045504C" w:rsidRPr="00571CF8" w:rsidRDefault="00571CF8" w:rsidP="0045504C">
      <w:pPr>
        <w:rPr>
          <w:lang w:eastAsia="en-AU"/>
        </w:rPr>
      </w:pPr>
      <w:r>
        <w:rPr>
          <w:b/>
          <w:color w:val="081594"/>
          <w:sz w:val="40"/>
          <w:szCs w:val="40"/>
        </w:rPr>
        <w:t xml:space="preserve">Independent Review of the Operation of the </w:t>
      </w:r>
      <w:r>
        <w:rPr>
          <w:b/>
          <w:i/>
          <w:color w:val="081594"/>
          <w:sz w:val="40"/>
          <w:szCs w:val="40"/>
        </w:rPr>
        <w:t>National Disability Insurance Scheme Act 2013 (</w:t>
      </w:r>
      <w:proofErr w:type="spellStart"/>
      <w:r>
        <w:rPr>
          <w:b/>
          <w:i/>
          <w:color w:val="081594"/>
          <w:sz w:val="40"/>
          <w:szCs w:val="40"/>
        </w:rPr>
        <w:t>Cth</w:t>
      </w:r>
      <w:proofErr w:type="spellEnd"/>
      <w:r>
        <w:rPr>
          <w:b/>
          <w:i/>
          <w:color w:val="081594"/>
          <w:sz w:val="40"/>
          <w:szCs w:val="40"/>
        </w:rPr>
        <w:t xml:space="preserve">) </w:t>
      </w:r>
    </w:p>
    <w:p w:rsidR="0045504C" w:rsidRDefault="0045504C" w:rsidP="0045504C"/>
    <w:p w:rsidR="0045504C" w:rsidRDefault="0045504C" w:rsidP="0045504C"/>
    <w:p w:rsidR="0045504C" w:rsidRDefault="0045504C" w:rsidP="0045504C"/>
    <w:p w:rsidR="0045504C" w:rsidRPr="00F9055E" w:rsidRDefault="0045504C" w:rsidP="0045504C"/>
    <w:p w:rsidR="0045504C" w:rsidRDefault="0045504C" w:rsidP="0045504C">
      <w:r>
        <w:rPr>
          <w:noProof/>
          <w:lang w:eastAsia="en-AU"/>
        </w:rPr>
        <w:drawing>
          <wp:inline distT="0" distB="0" distL="0" distR="0" wp14:anchorId="2C7AE0B0" wp14:editId="010A89E5">
            <wp:extent cx="5731510" cy="27978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97810"/>
                    </a:xfrm>
                    <a:prstGeom prst="rect">
                      <a:avLst/>
                    </a:prstGeom>
                  </pic:spPr>
                </pic:pic>
              </a:graphicData>
            </a:graphic>
          </wp:inline>
        </w:drawing>
      </w:r>
    </w:p>
    <w:p w:rsidR="0045504C" w:rsidRDefault="0045504C" w:rsidP="0045504C"/>
    <w:p w:rsidR="0045504C" w:rsidRDefault="0045504C" w:rsidP="0045504C"/>
    <w:p w:rsidR="0045504C" w:rsidRDefault="0045504C" w:rsidP="0045504C"/>
    <w:p w:rsidR="0045504C" w:rsidRDefault="0045504C" w:rsidP="0045504C"/>
    <w:p w:rsidR="0045504C" w:rsidRDefault="0045504C" w:rsidP="0045504C"/>
    <w:p w:rsidR="0045504C" w:rsidRDefault="0045504C" w:rsidP="0045504C"/>
    <w:p w:rsidR="005F1A2A" w:rsidRDefault="005F1A2A" w:rsidP="0045504C"/>
    <w:p w:rsidR="005F1A2A" w:rsidRDefault="005F1A2A" w:rsidP="0045504C"/>
    <w:sdt>
      <w:sdtPr>
        <w:rPr>
          <w:rFonts w:asciiTheme="minorHAnsi" w:eastAsiaTheme="minorHAnsi" w:hAnsiTheme="minorHAnsi" w:cstheme="minorBidi"/>
          <w:b w:val="0"/>
          <w:bCs w:val="0"/>
          <w:color w:val="auto"/>
          <w:sz w:val="24"/>
          <w:szCs w:val="24"/>
          <w:lang w:val="en-AU" w:eastAsia="en-US"/>
        </w:rPr>
        <w:id w:val="1442571995"/>
        <w:docPartObj>
          <w:docPartGallery w:val="Table of Contents"/>
          <w:docPartUnique/>
        </w:docPartObj>
      </w:sdtPr>
      <w:sdtEndPr>
        <w:rPr>
          <w:noProof/>
        </w:rPr>
      </w:sdtEndPr>
      <w:sdtContent>
        <w:p w:rsidR="0045504C" w:rsidRPr="00FB0CEC" w:rsidRDefault="0045504C" w:rsidP="0045504C">
          <w:pPr>
            <w:pStyle w:val="TOCHeading"/>
            <w:tabs>
              <w:tab w:val="left" w:pos="1883"/>
            </w:tabs>
            <w:rPr>
              <w:rFonts w:eastAsiaTheme="minorHAnsi"/>
            </w:rPr>
          </w:pPr>
          <w:r w:rsidRPr="00FB0CEC">
            <w:rPr>
              <w:rFonts w:eastAsiaTheme="minorHAnsi"/>
            </w:rPr>
            <w:t>Contents</w:t>
          </w:r>
          <w:r>
            <w:rPr>
              <w:rFonts w:eastAsiaTheme="minorHAnsi"/>
            </w:rPr>
            <w:tab/>
          </w:r>
        </w:p>
        <w:p w:rsidR="00D975AA" w:rsidRDefault="0045504C">
          <w:pPr>
            <w:pStyle w:val="TOC3"/>
            <w:rPr>
              <w:rFonts w:eastAsiaTheme="minorEastAsia"/>
              <w:color w:val="auto"/>
              <w:sz w:val="22"/>
              <w:szCs w:val="22"/>
              <w:lang w:eastAsia="en-AU"/>
            </w:rPr>
          </w:pPr>
          <w:r>
            <w:rPr>
              <w:color w:val="1F497D" w:themeColor="text2"/>
            </w:rPr>
            <w:fldChar w:fldCharType="begin"/>
          </w:r>
          <w:r>
            <w:instrText xml:space="preserve"> TOC \o "1-3" \h \z \u </w:instrText>
          </w:r>
          <w:r>
            <w:rPr>
              <w:color w:val="1F497D" w:themeColor="text2"/>
            </w:rPr>
            <w:fldChar w:fldCharType="separate"/>
          </w:r>
          <w:hyperlink w:anchor="_Toc432698125" w:history="1">
            <w:r w:rsidR="00D975AA" w:rsidRPr="00A34ECB">
              <w:rPr>
                <w:rStyle w:val="Hyperlink"/>
              </w:rPr>
              <w:t>About Queenslanders with Disability Network (QDN)</w:t>
            </w:r>
            <w:r w:rsidR="00D975AA">
              <w:rPr>
                <w:webHidden/>
              </w:rPr>
              <w:tab/>
            </w:r>
            <w:r w:rsidR="00D975AA">
              <w:rPr>
                <w:webHidden/>
              </w:rPr>
              <w:fldChar w:fldCharType="begin"/>
            </w:r>
            <w:r w:rsidR="00D975AA">
              <w:rPr>
                <w:webHidden/>
              </w:rPr>
              <w:instrText xml:space="preserve"> PAGEREF _Toc432698125 \h </w:instrText>
            </w:r>
            <w:r w:rsidR="00D975AA">
              <w:rPr>
                <w:webHidden/>
              </w:rPr>
            </w:r>
            <w:r w:rsidR="00D975AA">
              <w:rPr>
                <w:webHidden/>
              </w:rPr>
              <w:fldChar w:fldCharType="separate"/>
            </w:r>
            <w:r w:rsidR="00D72184">
              <w:rPr>
                <w:webHidden/>
              </w:rPr>
              <w:t>3</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26" w:history="1">
            <w:r w:rsidR="00D975AA" w:rsidRPr="00A34ECB">
              <w:rPr>
                <w:rStyle w:val="Hyperlink"/>
              </w:rPr>
              <w:t>Value Statement on People with Disability</w:t>
            </w:r>
            <w:r w:rsidR="00D975AA">
              <w:rPr>
                <w:webHidden/>
              </w:rPr>
              <w:tab/>
            </w:r>
            <w:r w:rsidR="00D975AA">
              <w:rPr>
                <w:webHidden/>
              </w:rPr>
              <w:fldChar w:fldCharType="begin"/>
            </w:r>
            <w:r w:rsidR="00D975AA">
              <w:rPr>
                <w:webHidden/>
              </w:rPr>
              <w:instrText xml:space="preserve"> PAGEREF _Toc432698126 \h </w:instrText>
            </w:r>
            <w:r w:rsidR="00D975AA">
              <w:rPr>
                <w:webHidden/>
              </w:rPr>
            </w:r>
            <w:r w:rsidR="00D975AA">
              <w:rPr>
                <w:webHidden/>
              </w:rPr>
              <w:fldChar w:fldCharType="separate"/>
            </w:r>
            <w:r>
              <w:rPr>
                <w:webHidden/>
              </w:rPr>
              <w:t>3</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27" w:history="1">
            <w:r w:rsidR="00D975AA" w:rsidRPr="00A34ECB">
              <w:rPr>
                <w:rStyle w:val="Hyperlink"/>
              </w:rPr>
              <w:t>About this Submission</w:t>
            </w:r>
            <w:r w:rsidR="00D975AA">
              <w:rPr>
                <w:webHidden/>
              </w:rPr>
              <w:tab/>
            </w:r>
            <w:r w:rsidR="00D975AA">
              <w:rPr>
                <w:webHidden/>
              </w:rPr>
              <w:fldChar w:fldCharType="begin"/>
            </w:r>
            <w:r w:rsidR="00D975AA">
              <w:rPr>
                <w:webHidden/>
              </w:rPr>
              <w:instrText xml:space="preserve"> PAGEREF _Toc432698127 \h </w:instrText>
            </w:r>
            <w:r w:rsidR="00D975AA">
              <w:rPr>
                <w:webHidden/>
              </w:rPr>
            </w:r>
            <w:r w:rsidR="00D975AA">
              <w:rPr>
                <w:webHidden/>
              </w:rPr>
              <w:fldChar w:fldCharType="separate"/>
            </w:r>
            <w:r>
              <w:rPr>
                <w:webHidden/>
              </w:rPr>
              <w:t>4</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28" w:history="1">
            <w:r w:rsidR="00D975AA" w:rsidRPr="00A34ECB">
              <w:rPr>
                <w:rStyle w:val="Hyperlink"/>
              </w:rPr>
              <w:t>QDN Consultation and this submission</w:t>
            </w:r>
            <w:r w:rsidR="00D975AA">
              <w:rPr>
                <w:webHidden/>
              </w:rPr>
              <w:tab/>
            </w:r>
            <w:r w:rsidR="00D975AA">
              <w:rPr>
                <w:webHidden/>
              </w:rPr>
              <w:fldChar w:fldCharType="begin"/>
            </w:r>
            <w:r w:rsidR="00D975AA">
              <w:rPr>
                <w:webHidden/>
              </w:rPr>
              <w:instrText xml:space="preserve"> PAGEREF _Toc432698128 \h </w:instrText>
            </w:r>
            <w:r w:rsidR="00D975AA">
              <w:rPr>
                <w:webHidden/>
              </w:rPr>
            </w:r>
            <w:r w:rsidR="00D975AA">
              <w:rPr>
                <w:webHidden/>
              </w:rPr>
              <w:fldChar w:fldCharType="separate"/>
            </w:r>
            <w:r>
              <w:rPr>
                <w:webHidden/>
              </w:rPr>
              <w:t>4</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29" w:history="1">
            <w:r w:rsidR="00D975AA" w:rsidRPr="00A34ECB">
              <w:rPr>
                <w:rStyle w:val="Hyperlink"/>
              </w:rPr>
              <w:t>Key Feedback</w:t>
            </w:r>
            <w:r w:rsidR="00D975AA">
              <w:rPr>
                <w:webHidden/>
              </w:rPr>
              <w:tab/>
            </w:r>
            <w:r w:rsidR="00D975AA">
              <w:rPr>
                <w:webHidden/>
              </w:rPr>
              <w:fldChar w:fldCharType="begin"/>
            </w:r>
            <w:r w:rsidR="00D975AA">
              <w:rPr>
                <w:webHidden/>
              </w:rPr>
              <w:instrText xml:space="preserve"> PAGEREF _Toc432698129 \h </w:instrText>
            </w:r>
            <w:r w:rsidR="00D975AA">
              <w:rPr>
                <w:webHidden/>
              </w:rPr>
            </w:r>
            <w:r w:rsidR="00D975AA">
              <w:rPr>
                <w:webHidden/>
              </w:rPr>
              <w:fldChar w:fldCharType="separate"/>
            </w:r>
            <w:r>
              <w:rPr>
                <w:webHidden/>
              </w:rPr>
              <w:t>4</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0" w:history="1">
            <w:r w:rsidR="00D975AA" w:rsidRPr="00A34ECB">
              <w:rPr>
                <w:rStyle w:val="Hyperlink"/>
              </w:rPr>
              <w:t>2. Principles</w:t>
            </w:r>
            <w:r w:rsidR="00D975AA">
              <w:rPr>
                <w:webHidden/>
              </w:rPr>
              <w:tab/>
            </w:r>
            <w:r w:rsidR="00D975AA">
              <w:rPr>
                <w:webHidden/>
              </w:rPr>
              <w:fldChar w:fldCharType="begin"/>
            </w:r>
            <w:r w:rsidR="00D975AA">
              <w:rPr>
                <w:webHidden/>
              </w:rPr>
              <w:instrText xml:space="preserve"> PAGEREF _Toc432698130 \h </w:instrText>
            </w:r>
            <w:r w:rsidR="00D975AA">
              <w:rPr>
                <w:webHidden/>
              </w:rPr>
            </w:r>
            <w:r w:rsidR="00D975AA">
              <w:rPr>
                <w:webHidden/>
              </w:rPr>
              <w:fldChar w:fldCharType="separate"/>
            </w:r>
            <w:r>
              <w:rPr>
                <w:webHidden/>
              </w:rPr>
              <w:t>4</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1" w:history="1">
            <w:r w:rsidR="00D975AA" w:rsidRPr="00A34ECB">
              <w:rPr>
                <w:rStyle w:val="Hyperlink"/>
              </w:rPr>
              <w:t>3. Design of legislative framework</w:t>
            </w:r>
            <w:r w:rsidR="00D975AA">
              <w:rPr>
                <w:webHidden/>
              </w:rPr>
              <w:tab/>
            </w:r>
            <w:r w:rsidR="00D975AA">
              <w:rPr>
                <w:webHidden/>
              </w:rPr>
              <w:fldChar w:fldCharType="begin"/>
            </w:r>
            <w:r w:rsidR="00D975AA">
              <w:rPr>
                <w:webHidden/>
              </w:rPr>
              <w:instrText xml:space="preserve"> PAGEREF _Toc432698131 \h </w:instrText>
            </w:r>
            <w:r w:rsidR="00D975AA">
              <w:rPr>
                <w:webHidden/>
              </w:rPr>
            </w:r>
            <w:r w:rsidR="00D975AA">
              <w:rPr>
                <w:webHidden/>
              </w:rPr>
              <w:fldChar w:fldCharType="separate"/>
            </w:r>
            <w:r>
              <w:rPr>
                <w:webHidden/>
              </w:rPr>
              <w:t>5</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2" w:history="1">
            <w:r w:rsidR="00D975AA" w:rsidRPr="00A34ECB">
              <w:rPr>
                <w:rStyle w:val="Hyperlink"/>
              </w:rPr>
              <w:t>4. Becoming a participant</w:t>
            </w:r>
            <w:r w:rsidR="00D975AA">
              <w:rPr>
                <w:webHidden/>
              </w:rPr>
              <w:tab/>
            </w:r>
            <w:r w:rsidR="00D975AA">
              <w:rPr>
                <w:webHidden/>
              </w:rPr>
              <w:fldChar w:fldCharType="begin"/>
            </w:r>
            <w:r w:rsidR="00D975AA">
              <w:rPr>
                <w:webHidden/>
              </w:rPr>
              <w:instrText xml:space="preserve"> PAGEREF _Toc432698132 \h </w:instrText>
            </w:r>
            <w:r w:rsidR="00D975AA">
              <w:rPr>
                <w:webHidden/>
              </w:rPr>
            </w:r>
            <w:r w:rsidR="00D975AA">
              <w:rPr>
                <w:webHidden/>
              </w:rPr>
              <w:fldChar w:fldCharType="separate"/>
            </w:r>
            <w:r>
              <w:rPr>
                <w:webHidden/>
              </w:rPr>
              <w:t>5</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3" w:history="1">
            <w:r w:rsidR="00D975AA" w:rsidRPr="00A34ECB">
              <w:rPr>
                <w:rStyle w:val="Hyperlink"/>
              </w:rPr>
              <w:t>5. Participant plans</w:t>
            </w:r>
            <w:r w:rsidR="00D975AA">
              <w:rPr>
                <w:webHidden/>
              </w:rPr>
              <w:tab/>
            </w:r>
            <w:r w:rsidR="00D975AA">
              <w:rPr>
                <w:webHidden/>
              </w:rPr>
              <w:fldChar w:fldCharType="begin"/>
            </w:r>
            <w:r w:rsidR="00D975AA">
              <w:rPr>
                <w:webHidden/>
              </w:rPr>
              <w:instrText xml:space="preserve"> PAGEREF _Toc432698133 \h </w:instrText>
            </w:r>
            <w:r w:rsidR="00D975AA">
              <w:rPr>
                <w:webHidden/>
              </w:rPr>
            </w:r>
            <w:r w:rsidR="00D975AA">
              <w:rPr>
                <w:webHidden/>
              </w:rPr>
              <w:fldChar w:fldCharType="separate"/>
            </w:r>
            <w:r>
              <w:rPr>
                <w:webHidden/>
              </w:rPr>
              <w:t>7</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4" w:history="1">
            <w:r w:rsidR="00D975AA" w:rsidRPr="00A34ECB">
              <w:rPr>
                <w:rStyle w:val="Hyperlink"/>
              </w:rPr>
              <w:t>6. Registered providers of supports</w:t>
            </w:r>
            <w:r w:rsidR="00D975AA">
              <w:rPr>
                <w:webHidden/>
              </w:rPr>
              <w:tab/>
            </w:r>
            <w:r w:rsidR="00D975AA">
              <w:rPr>
                <w:webHidden/>
              </w:rPr>
              <w:fldChar w:fldCharType="begin"/>
            </w:r>
            <w:r w:rsidR="00D975AA">
              <w:rPr>
                <w:webHidden/>
              </w:rPr>
              <w:instrText xml:space="preserve"> PAGEREF _Toc432698134 \h </w:instrText>
            </w:r>
            <w:r w:rsidR="00D975AA">
              <w:rPr>
                <w:webHidden/>
              </w:rPr>
            </w:r>
            <w:r w:rsidR="00D975AA">
              <w:rPr>
                <w:webHidden/>
              </w:rPr>
              <w:fldChar w:fldCharType="separate"/>
            </w:r>
            <w:r>
              <w:rPr>
                <w:webHidden/>
              </w:rPr>
              <w:t>8</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5" w:history="1">
            <w:r w:rsidR="00D975AA" w:rsidRPr="00A34ECB">
              <w:rPr>
                <w:rStyle w:val="Hyperlink"/>
              </w:rPr>
              <w:t>7. Nominees</w:t>
            </w:r>
            <w:r w:rsidR="00D975AA">
              <w:rPr>
                <w:webHidden/>
              </w:rPr>
              <w:tab/>
            </w:r>
            <w:r w:rsidR="00D975AA">
              <w:rPr>
                <w:webHidden/>
              </w:rPr>
              <w:fldChar w:fldCharType="begin"/>
            </w:r>
            <w:r w:rsidR="00D975AA">
              <w:rPr>
                <w:webHidden/>
              </w:rPr>
              <w:instrText xml:space="preserve"> PAGEREF _Toc432698135 \h </w:instrText>
            </w:r>
            <w:r w:rsidR="00D975AA">
              <w:rPr>
                <w:webHidden/>
              </w:rPr>
            </w:r>
            <w:r w:rsidR="00D975AA">
              <w:rPr>
                <w:webHidden/>
              </w:rPr>
              <w:fldChar w:fldCharType="separate"/>
            </w:r>
            <w:r>
              <w:rPr>
                <w:webHidden/>
              </w:rPr>
              <w:t>9</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6" w:history="1">
            <w:r w:rsidR="00D975AA" w:rsidRPr="00A34ECB">
              <w:rPr>
                <w:rStyle w:val="Hyperlink"/>
              </w:rPr>
              <w:t>10. Governance</w:t>
            </w:r>
            <w:r w:rsidR="00D975AA">
              <w:rPr>
                <w:webHidden/>
              </w:rPr>
              <w:tab/>
            </w:r>
            <w:r w:rsidR="00D975AA">
              <w:rPr>
                <w:webHidden/>
              </w:rPr>
              <w:fldChar w:fldCharType="begin"/>
            </w:r>
            <w:r w:rsidR="00D975AA">
              <w:rPr>
                <w:webHidden/>
              </w:rPr>
              <w:instrText xml:space="preserve"> PAGEREF _Toc432698136 \h </w:instrText>
            </w:r>
            <w:r w:rsidR="00D975AA">
              <w:rPr>
                <w:webHidden/>
              </w:rPr>
            </w:r>
            <w:r w:rsidR="00D975AA">
              <w:rPr>
                <w:webHidden/>
              </w:rPr>
              <w:fldChar w:fldCharType="separate"/>
            </w:r>
            <w:r>
              <w:rPr>
                <w:webHidden/>
              </w:rPr>
              <w:t>9</w:t>
            </w:r>
            <w:r w:rsidR="00D975AA">
              <w:rPr>
                <w:webHidden/>
              </w:rPr>
              <w:fldChar w:fldCharType="end"/>
            </w:r>
          </w:hyperlink>
        </w:p>
        <w:p w:rsidR="00D975AA" w:rsidRDefault="00D72184">
          <w:pPr>
            <w:pStyle w:val="TOC3"/>
            <w:rPr>
              <w:rFonts w:eastAsiaTheme="minorEastAsia"/>
              <w:color w:val="auto"/>
              <w:sz w:val="22"/>
              <w:szCs w:val="22"/>
              <w:lang w:eastAsia="en-AU"/>
            </w:rPr>
          </w:pPr>
          <w:hyperlink w:anchor="_Toc432698137" w:history="1">
            <w:r w:rsidR="00D975AA" w:rsidRPr="00A34ECB">
              <w:rPr>
                <w:rStyle w:val="Hyperlink"/>
              </w:rPr>
              <w:t>Conclusion</w:t>
            </w:r>
            <w:r w:rsidR="00D975AA">
              <w:rPr>
                <w:webHidden/>
              </w:rPr>
              <w:tab/>
            </w:r>
            <w:r w:rsidR="00D975AA">
              <w:rPr>
                <w:webHidden/>
              </w:rPr>
              <w:fldChar w:fldCharType="begin"/>
            </w:r>
            <w:r w:rsidR="00D975AA">
              <w:rPr>
                <w:webHidden/>
              </w:rPr>
              <w:instrText xml:space="preserve"> PAGEREF _Toc432698137 \h </w:instrText>
            </w:r>
            <w:r w:rsidR="00D975AA">
              <w:rPr>
                <w:webHidden/>
              </w:rPr>
            </w:r>
            <w:r w:rsidR="00D975AA">
              <w:rPr>
                <w:webHidden/>
              </w:rPr>
              <w:fldChar w:fldCharType="separate"/>
            </w:r>
            <w:r>
              <w:rPr>
                <w:webHidden/>
              </w:rPr>
              <w:t>10</w:t>
            </w:r>
            <w:r w:rsidR="00D975AA">
              <w:rPr>
                <w:webHidden/>
              </w:rPr>
              <w:fldChar w:fldCharType="end"/>
            </w:r>
          </w:hyperlink>
        </w:p>
        <w:p w:rsidR="0045504C" w:rsidRDefault="0045504C" w:rsidP="0045504C">
          <w:r>
            <w:rPr>
              <w:b/>
              <w:bCs/>
              <w:noProof/>
            </w:rPr>
            <w:fldChar w:fldCharType="end"/>
          </w:r>
        </w:p>
      </w:sdtContent>
    </w:sdt>
    <w:p w:rsidR="0045504C" w:rsidRDefault="0045504C" w:rsidP="0045504C"/>
    <w:p w:rsidR="0045504C" w:rsidRDefault="0045504C" w:rsidP="0045504C">
      <w:pPr>
        <w:pStyle w:val="Heading2"/>
      </w:pPr>
      <w:bookmarkStart w:id="4" w:name="_Toc418057655"/>
      <w:bookmarkStart w:id="5" w:name="_Toc413879492"/>
    </w:p>
    <w:p w:rsidR="0045504C" w:rsidRDefault="0045504C" w:rsidP="0045504C">
      <w:r>
        <w:br w:type="page"/>
      </w:r>
    </w:p>
    <w:p w:rsidR="0045504C" w:rsidRPr="00F9055E" w:rsidRDefault="0045504C" w:rsidP="0045504C">
      <w:pPr>
        <w:pStyle w:val="Heading3"/>
      </w:pPr>
      <w:bookmarkStart w:id="6" w:name="_Toc418057656"/>
      <w:bookmarkStart w:id="7" w:name="_Toc432698125"/>
      <w:bookmarkEnd w:id="4"/>
      <w:r w:rsidRPr="00F9055E">
        <w:lastRenderedPageBreak/>
        <w:t>About Queenslanders with Disability Network (QDN)</w:t>
      </w:r>
      <w:bookmarkEnd w:id="5"/>
      <w:bookmarkEnd w:id="6"/>
      <w:bookmarkEnd w:id="7"/>
    </w:p>
    <w:p w:rsidR="0045504C" w:rsidRPr="00F9055E" w:rsidRDefault="0045504C" w:rsidP="0069378B">
      <w:r w:rsidRPr="00F9055E">
        <w:t xml:space="preserve">QDN is an organisation of, for, and with people with disability and the organisation’s motto is “nothing about us without us.” QDN operates a state-wide network of members who provide information, feedback and views from a consumer perspective to inform systemic policy feedback to Government and peak bodies. QDN also provides information and referral support to people with disability. </w:t>
      </w:r>
    </w:p>
    <w:p w:rsidR="0045504C" w:rsidRDefault="0045504C" w:rsidP="0069378B">
      <w:r w:rsidRPr="00F9055E">
        <w:t xml:space="preserve">QDN has over 700 members across Queensland. All of QDN’s </w:t>
      </w:r>
      <w:r>
        <w:t xml:space="preserve">voting </w:t>
      </w:r>
      <w:r w:rsidRPr="00F9055E">
        <w:t>members are people with disability.</w:t>
      </w:r>
    </w:p>
    <w:p w:rsidR="0045504C" w:rsidRPr="00F9055E" w:rsidRDefault="0045504C" w:rsidP="0045504C">
      <w:pPr>
        <w:pStyle w:val="Heading3"/>
      </w:pPr>
      <w:bookmarkStart w:id="8" w:name="_Toc273107840"/>
      <w:bookmarkStart w:id="9" w:name="_Toc346890373"/>
      <w:bookmarkStart w:id="10" w:name="_Toc363828327"/>
      <w:bookmarkStart w:id="11" w:name="_Toc413879493"/>
      <w:bookmarkStart w:id="12" w:name="_Toc418057657"/>
      <w:bookmarkStart w:id="13" w:name="_Toc432698126"/>
      <w:r w:rsidRPr="00F9055E">
        <w:t>Value Statement on People with Disability</w:t>
      </w:r>
      <w:bookmarkEnd w:id="8"/>
      <w:bookmarkEnd w:id="9"/>
      <w:bookmarkEnd w:id="10"/>
      <w:bookmarkEnd w:id="11"/>
      <w:bookmarkEnd w:id="12"/>
      <w:bookmarkEnd w:id="13"/>
    </w:p>
    <w:p w:rsidR="0045504C" w:rsidRPr="00F9055E" w:rsidRDefault="0045504C" w:rsidP="0069378B">
      <w:r w:rsidRPr="00F9055E">
        <w:t>QDN’s work in providing feedback and input into systemic policy issues is based upon the organisation’s core values and the place of people with disability in an inclusive, Australian society.</w:t>
      </w:r>
      <w:r>
        <w:t xml:space="preserve"> </w:t>
      </w:r>
    </w:p>
    <w:p w:rsidR="0045504C" w:rsidRPr="00F9055E" w:rsidRDefault="0045504C" w:rsidP="0069378B">
      <w:r w:rsidRPr="00F9055E">
        <w:t>QDN believes that:</w:t>
      </w:r>
    </w:p>
    <w:p w:rsidR="0045504C" w:rsidRPr="00EF28B5" w:rsidRDefault="0045504C" w:rsidP="0045504C">
      <w:pPr>
        <w:pStyle w:val="ListParagraph"/>
        <w:numPr>
          <w:ilvl w:val="0"/>
          <w:numId w:val="1"/>
        </w:numPr>
      </w:pPr>
      <w:r w:rsidRPr="00EF28B5">
        <w:t>All people with disability have a right to a place in the community and have contributions to make to community. This is as empowered, free citizens who are as valued, present, participating and welcomed as members of any dynamic and diverse society.</w:t>
      </w:r>
    </w:p>
    <w:p w:rsidR="0045504C" w:rsidRPr="00EF28B5" w:rsidRDefault="0045504C" w:rsidP="0045504C">
      <w:pPr>
        <w:pStyle w:val="ListParagraph"/>
        <w:numPr>
          <w:ilvl w:val="0"/>
          <w:numId w:val="1"/>
        </w:numPr>
      </w:pPr>
      <w:r w:rsidRPr="00EF28B5">
        <w:t>The place of people with disability in the community is not just about people with disability having a house in the community.  Core to this is that they are welcomed in the community as ordinary citizens where they are genuinely given opportunities to contribute and actively participate. People with disability need to be in communities where their individuality, their talents, and their lived experiences of disability are recognised and acknowledged.</w:t>
      </w:r>
    </w:p>
    <w:p w:rsidR="0045504C" w:rsidRPr="00EF28B5" w:rsidRDefault="0045504C" w:rsidP="0045504C">
      <w:pPr>
        <w:pStyle w:val="ListParagraph"/>
        <w:numPr>
          <w:ilvl w:val="0"/>
          <w:numId w:val="1"/>
        </w:numPr>
      </w:pPr>
      <w:r w:rsidRPr="00EF28B5">
        <w:t>Culturally and historically, people with disability are not afforded the same value, opportunities or access to community life.</w:t>
      </w:r>
    </w:p>
    <w:p w:rsidR="0045504C" w:rsidRPr="00EF28B5" w:rsidRDefault="0045504C" w:rsidP="0045504C">
      <w:pPr>
        <w:pStyle w:val="ListParagraph"/>
        <w:numPr>
          <w:ilvl w:val="0"/>
          <w:numId w:val="1"/>
        </w:numPr>
      </w:pPr>
      <w:r w:rsidRPr="00EF28B5">
        <w:t xml:space="preserve">Any inclusion in community for people with disability is conditional and vulnerable to withdrawal. </w:t>
      </w:r>
    </w:p>
    <w:p w:rsidR="0045504C" w:rsidRPr="00EF28B5" w:rsidRDefault="0045504C" w:rsidP="0045504C">
      <w:pPr>
        <w:pStyle w:val="ListParagraph"/>
        <w:numPr>
          <w:ilvl w:val="0"/>
          <w:numId w:val="1"/>
        </w:numPr>
      </w:pPr>
      <w:r w:rsidRPr="00EF28B5">
        <w:t>Many people with disability in Queensland are excluded from the most basic experiences of ordinary lives.</w:t>
      </w:r>
    </w:p>
    <w:p w:rsidR="0045504C" w:rsidRPr="00EF28B5" w:rsidRDefault="0045504C" w:rsidP="0045504C">
      <w:pPr>
        <w:pStyle w:val="ListParagraph"/>
        <w:numPr>
          <w:ilvl w:val="0"/>
          <w:numId w:val="1"/>
        </w:numPr>
      </w:pPr>
      <w:r w:rsidRPr="00EF28B5">
        <w:t>Current exclusionary practices are unacceptable and must be challenged.</w:t>
      </w:r>
    </w:p>
    <w:p w:rsidR="0045504C" w:rsidRPr="00EF28B5" w:rsidRDefault="0045504C" w:rsidP="0045504C">
      <w:pPr>
        <w:pStyle w:val="ListParagraph"/>
        <w:numPr>
          <w:ilvl w:val="0"/>
          <w:numId w:val="1"/>
        </w:numPr>
      </w:pPr>
      <w:r w:rsidRPr="00EF28B5">
        <w:t>These issues affect not only people with disability but the whole community.</w:t>
      </w:r>
    </w:p>
    <w:p w:rsidR="0045504C" w:rsidRDefault="0045504C" w:rsidP="0045504C">
      <w:pPr>
        <w:pStyle w:val="ListParagraph"/>
        <w:numPr>
          <w:ilvl w:val="0"/>
          <w:numId w:val="1"/>
        </w:numPr>
      </w:pPr>
      <w:r w:rsidRPr="00EF28B5">
        <w:t xml:space="preserve">The responsibility is shared. It lies within government (federal, state and local) and the community at large, to ensure that people with disability have a place and are resourced to </w:t>
      </w:r>
      <w:r w:rsidRPr="00F9055E">
        <w:t>belong in community.</w:t>
      </w:r>
      <w:bookmarkStart w:id="14" w:name="_Toc418057658"/>
    </w:p>
    <w:p w:rsidR="00ED32DC" w:rsidRDefault="00ED32DC" w:rsidP="0045504C">
      <w:pPr>
        <w:pStyle w:val="Heading3"/>
      </w:pPr>
    </w:p>
    <w:p w:rsidR="00ED32DC" w:rsidRDefault="00ED32DC" w:rsidP="00ED32DC">
      <w:pPr>
        <w:pStyle w:val="Heading3"/>
      </w:pPr>
      <w:bookmarkStart w:id="15" w:name="_Toc432698127"/>
      <w:r w:rsidRPr="00371677">
        <w:lastRenderedPageBreak/>
        <w:t>About this Submission</w:t>
      </w:r>
      <w:bookmarkEnd w:id="15"/>
    </w:p>
    <w:p w:rsidR="00ED32DC" w:rsidRPr="00571CF8" w:rsidRDefault="00ED32DC" w:rsidP="00571CF8">
      <w:r w:rsidRPr="00371677">
        <w:t>QDN’</w:t>
      </w:r>
      <w:r>
        <w:t xml:space="preserve">s submission responds to the </w:t>
      </w:r>
      <w:r w:rsidR="00571CF8">
        <w:t xml:space="preserve">independent review of the </w:t>
      </w:r>
      <w:r w:rsidR="00571CF8">
        <w:rPr>
          <w:i/>
        </w:rPr>
        <w:t>National Disability Insurance Act 2013 (</w:t>
      </w:r>
      <w:proofErr w:type="spellStart"/>
      <w:r w:rsidR="00571CF8">
        <w:rPr>
          <w:i/>
        </w:rPr>
        <w:t>Cth</w:t>
      </w:r>
      <w:proofErr w:type="spellEnd"/>
      <w:r w:rsidR="00571CF8">
        <w:rPr>
          <w:i/>
        </w:rPr>
        <w:t xml:space="preserve">) </w:t>
      </w:r>
      <w:r w:rsidR="00571CF8">
        <w:t xml:space="preserve">(NDIS Act) as required under section 208 of the NDIS Act. </w:t>
      </w:r>
    </w:p>
    <w:p w:rsidR="0045504C" w:rsidRPr="00201AF4" w:rsidRDefault="0045504C" w:rsidP="0045504C">
      <w:pPr>
        <w:pStyle w:val="Heading3"/>
      </w:pPr>
      <w:bookmarkStart w:id="16" w:name="_Toc432698128"/>
      <w:r>
        <w:t>QDN Consultation</w:t>
      </w:r>
      <w:bookmarkEnd w:id="14"/>
      <w:r>
        <w:t xml:space="preserve"> and this submission</w:t>
      </w:r>
      <w:bookmarkEnd w:id="16"/>
      <w:r>
        <w:t xml:space="preserve"> </w:t>
      </w:r>
    </w:p>
    <w:p w:rsidR="0045504C" w:rsidRDefault="00571CF8" w:rsidP="0069378B">
      <w:r>
        <w:t xml:space="preserve">Given the short timeframes of the legislative review, </w:t>
      </w:r>
      <w:r w:rsidR="00402EDF">
        <w:t xml:space="preserve">QDN has undertaken </w:t>
      </w:r>
      <w:r>
        <w:t xml:space="preserve">a targeted </w:t>
      </w:r>
      <w:r w:rsidR="00402EDF">
        <w:t xml:space="preserve">consultation </w:t>
      </w:r>
      <w:r>
        <w:t>with key members of people with disability who have been involved in various roles as peer facilitators, regional facilitators and group convenors leading peer led awareness</w:t>
      </w:r>
      <w:r w:rsidR="00C676BB">
        <w:t>-</w:t>
      </w:r>
      <w:r>
        <w:t xml:space="preserve">raising and participant readiness activities with other people with disability in preparation for the NDIS. </w:t>
      </w:r>
    </w:p>
    <w:p w:rsidR="0045504C" w:rsidRDefault="0045504C" w:rsidP="0045504C">
      <w:pPr>
        <w:pStyle w:val="Heading3"/>
      </w:pPr>
      <w:bookmarkStart w:id="17" w:name="_Toc432698129"/>
      <w:r>
        <w:t>Key Feedback</w:t>
      </w:r>
      <w:bookmarkEnd w:id="17"/>
    </w:p>
    <w:p w:rsidR="00571CF8" w:rsidRDefault="00571CF8" w:rsidP="00571CF8">
      <w:proofErr w:type="gramStart"/>
      <w:r>
        <w:t>Queenslanders with Disability Network welcomes</w:t>
      </w:r>
      <w:proofErr w:type="gramEnd"/>
      <w:r>
        <w:t xml:space="preserve"> the opportunity to provide this submission on the review of the NDIS Act</w:t>
      </w:r>
      <w:r w:rsidR="00871903">
        <w:t>,</w:t>
      </w:r>
      <w:r>
        <w:t xml:space="preserve"> 2013. QDN recognises the consent and privacy requirements surrounding this submission, however does not agree to provisions that would allow a third party to adapt and modify the submission for any purpose. QDN does not agree to </w:t>
      </w:r>
      <w:r w:rsidR="00871903">
        <w:t>its</w:t>
      </w:r>
      <w:r>
        <w:t xml:space="preserve"> views and feedback </w:t>
      </w:r>
      <w:r w:rsidR="00871903">
        <w:t xml:space="preserve">- </w:t>
      </w:r>
      <w:r>
        <w:t>representing the voice of Queenslanders with disability</w:t>
      </w:r>
      <w:r w:rsidR="00871903">
        <w:t xml:space="preserve">, </w:t>
      </w:r>
      <w:r>
        <w:t xml:space="preserve">to be modified or adapted in a way that </w:t>
      </w:r>
      <w:r w:rsidR="00871903">
        <w:t xml:space="preserve">could </w:t>
      </w:r>
      <w:r>
        <w:t xml:space="preserve">misrepresent member views. </w:t>
      </w:r>
    </w:p>
    <w:p w:rsidR="00571CF8" w:rsidRDefault="00571CF8" w:rsidP="00571CF8">
      <w:r>
        <w:t xml:space="preserve">QDN acknowledges the intention of this legislation </w:t>
      </w:r>
      <w:r w:rsidR="00871903">
        <w:t>is to promote the independence</w:t>
      </w:r>
      <w:r>
        <w:t xml:space="preserve"> and social and economic of participation </w:t>
      </w:r>
      <w:r w:rsidR="00871903">
        <w:t xml:space="preserve">of people with disability </w:t>
      </w:r>
      <w:r>
        <w:t>in their community. Greater choice, control and flexibility over the supports they receive</w:t>
      </w:r>
      <w:r w:rsidR="00871903">
        <w:t>,</w:t>
      </w:r>
      <w:r>
        <w:t xml:space="preserve"> to achieve these outcomes</w:t>
      </w:r>
      <w:r w:rsidR="00871903">
        <w:t>,</w:t>
      </w:r>
      <w:r>
        <w:t xml:space="preserve"> is an essential part of this legislation and in line with the </w:t>
      </w:r>
      <w:r w:rsidR="00C676BB">
        <w:t xml:space="preserve">UN </w:t>
      </w:r>
      <w:r w:rsidR="00871903" w:rsidRPr="00871903">
        <w:t xml:space="preserve">Convention on the Rights of </w:t>
      </w:r>
      <w:r w:rsidR="007C199F">
        <w:t>Persons with Disabilities</w:t>
      </w:r>
      <w:r w:rsidR="00C676BB">
        <w:t xml:space="preserve"> (CRPD)</w:t>
      </w:r>
      <w:r>
        <w:t xml:space="preserve">. </w:t>
      </w:r>
    </w:p>
    <w:p w:rsidR="00571CF8" w:rsidRDefault="00571CF8" w:rsidP="00571CF8">
      <w:r>
        <w:t xml:space="preserve">QDN makes the following comments and recommendations with regards to the key issues identified in the discussion paper.  </w:t>
      </w:r>
    </w:p>
    <w:p w:rsidR="00571CF8" w:rsidRPr="00640DDF" w:rsidRDefault="00571CF8" w:rsidP="00571CF8">
      <w:pPr>
        <w:pStyle w:val="Heading3"/>
      </w:pPr>
      <w:bookmarkStart w:id="18" w:name="_Toc432698130"/>
      <w:r w:rsidRPr="00640DDF">
        <w:t xml:space="preserve">2. </w:t>
      </w:r>
      <w:r>
        <w:t>Principles</w:t>
      </w:r>
      <w:bookmarkEnd w:id="18"/>
    </w:p>
    <w:p w:rsidR="00571CF8" w:rsidRDefault="00571CF8" w:rsidP="00571CF8">
      <w:r>
        <w:t>QDN recognises the importance of the rights of people with disability being enshrined in the N</w:t>
      </w:r>
      <w:r w:rsidR="00871903">
        <w:t>DIS Act,</w:t>
      </w:r>
      <w:r>
        <w:t xml:space="preserve"> 2013. QDN believes this legislation</w:t>
      </w:r>
      <w:r w:rsidR="00871903">
        <w:t xml:space="preserve">, </w:t>
      </w:r>
      <w:r w:rsidR="00871903" w:rsidRPr="009C234F">
        <w:t>including its objects and principles,</w:t>
      </w:r>
      <w:r w:rsidR="00871903">
        <w:t xml:space="preserve"> </w:t>
      </w:r>
      <w:r>
        <w:t xml:space="preserve">reflects the intention and objectives of the </w:t>
      </w:r>
      <w:proofErr w:type="gramStart"/>
      <w:r>
        <w:t>C</w:t>
      </w:r>
      <w:r w:rsidR="00C676BB">
        <w:t xml:space="preserve">RPD </w:t>
      </w:r>
      <w:r w:rsidR="00871903">
        <w:t>.</w:t>
      </w:r>
      <w:proofErr w:type="gramEnd"/>
      <w:r w:rsidR="00871903" w:rsidRPr="00871903">
        <w:t xml:space="preserve"> </w:t>
      </w:r>
      <w:r>
        <w:t xml:space="preserve">QDN </w:t>
      </w:r>
      <w:r w:rsidR="00B56B06">
        <w:t xml:space="preserve">fully </w:t>
      </w:r>
      <w:r>
        <w:t xml:space="preserve">supports the continuation of the strength of these principles to drive the Rules and </w:t>
      </w:r>
      <w:r w:rsidR="00C676BB">
        <w:t>Operational G</w:t>
      </w:r>
      <w:r>
        <w:t>uidelines of the NDIS</w:t>
      </w:r>
      <w:r w:rsidR="00B56B06">
        <w:t>,</w:t>
      </w:r>
      <w:r>
        <w:t xml:space="preserve"> to deliver rights-based system reforms. </w:t>
      </w:r>
    </w:p>
    <w:p w:rsidR="00571CF8" w:rsidRDefault="00571CF8" w:rsidP="00571CF8">
      <w:r>
        <w:t xml:space="preserve">QDN recognises the importance of this legislation to interact effectively with </w:t>
      </w:r>
      <w:r w:rsidR="00C676BB">
        <w:t>S</w:t>
      </w:r>
      <w:r>
        <w:t xml:space="preserve">tate legislation and jurisdictions, and the interface between other systems highlights the complexity of implementation of this Act.  </w:t>
      </w:r>
    </w:p>
    <w:p w:rsidR="00571CF8" w:rsidRPr="001F488F" w:rsidRDefault="00571CF8" w:rsidP="00571CF8">
      <w:pPr>
        <w:pStyle w:val="Heading3"/>
      </w:pPr>
      <w:bookmarkStart w:id="19" w:name="_Toc432698131"/>
      <w:r w:rsidRPr="001F488F">
        <w:lastRenderedPageBreak/>
        <w:t>3. Design of legislative framework</w:t>
      </w:r>
      <w:bookmarkEnd w:id="19"/>
    </w:p>
    <w:p w:rsidR="00571CF8" w:rsidRDefault="00571CF8" w:rsidP="00571CF8">
      <w:r>
        <w:t>QDN acknowledges the need for Government to balance its obligation to deliver good governance in making and passing laws</w:t>
      </w:r>
      <w:r w:rsidR="00B56B06">
        <w:t>,</w:t>
      </w:r>
      <w:r>
        <w:t xml:space="preserve"> through the use of non-prescriptive and principle</w:t>
      </w:r>
      <w:r w:rsidR="00C676BB">
        <w:t>-</w:t>
      </w:r>
      <w:r>
        <w:t xml:space="preserve"> based legislations</w:t>
      </w:r>
      <w:r w:rsidR="00B56B06">
        <w:t>,</w:t>
      </w:r>
      <w:r>
        <w:t xml:space="preserve"> with regards to this Act. </w:t>
      </w:r>
    </w:p>
    <w:p w:rsidR="009C234F" w:rsidRDefault="00571CF8" w:rsidP="00571CF8">
      <w:pPr>
        <w:rPr>
          <w:color w:val="7030A0"/>
        </w:rPr>
      </w:pPr>
      <w:r w:rsidRPr="005D010C">
        <w:t xml:space="preserve">QDN supports this legislative framework design, however highlights the potential for issues that may arise into the future where </w:t>
      </w:r>
      <w:r w:rsidR="005D010C" w:rsidRPr="005D010C">
        <w:t xml:space="preserve">political and strategic imperatives </w:t>
      </w:r>
      <w:r w:rsidR="005D010C">
        <w:t xml:space="preserve">may impact upon </w:t>
      </w:r>
      <w:r w:rsidRPr="005D010C">
        <w:t xml:space="preserve">the operational guidelines developed </w:t>
      </w:r>
      <w:r w:rsidR="009C234F" w:rsidRPr="005D010C">
        <w:t xml:space="preserve">by the NDIA </w:t>
      </w:r>
      <w:r w:rsidRPr="005D010C">
        <w:t xml:space="preserve">in a way that </w:t>
      </w:r>
      <w:r w:rsidR="009C234F" w:rsidRPr="005D010C">
        <w:t xml:space="preserve">focuses </w:t>
      </w:r>
      <w:r w:rsidR="005D010C">
        <w:t xml:space="preserve">the NDIA’s perspective </w:t>
      </w:r>
      <w:r w:rsidR="009C234F" w:rsidRPr="005D010C">
        <w:t xml:space="preserve">upon fiscal restraint and </w:t>
      </w:r>
      <w:r w:rsidRPr="005D010C">
        <w:t>compromise</w:t>
      </w:r>
      <w:r w:rsidR="009C234F" w:rsidRPr="005D010C">
        <w:t>s</w:t>
      </w:r>
      <w:r w:rsidRPr="005D010C">
        <w:t xml:space="preserve"> the intention and principles of the NDIS. The Scheme is intended to enable people with disability access to goal orientated s</w:t>
      </w:r>
      <w:r w:rsidR="00B56B06" w:rsidRPr="005D010C">
        <w:t xml:space="preserve">upports to achieve independence </w:t>
      </w:r>
      <w:r w:rsidRPr="005D010C">
        <w:t>and social and economic participation in their community.</w:t>
      </w:r>
      <w:r>
        <w:t xml:space="preserve"> </w:t>
      </w:r>
    </w:p>
    <w:p w:rsidR="00C676BB" w:rsidRDefault="00571CF8" w:rsidP="00571CF8">
      <w:r>
        <w:t xml:space="preserve">QDN believes it is essential that the legislative framework of the NDIS delivers social </w:t>
      </w:r>
      <w:r w:rsidR="00B56B06">
        <w:t xml:space="preserve">and </w:t>
      </w:r>
      <w:r>
        <w:t>public accountability and enables democratic scrutiny</w:t>
      </w:r>
      <w:r w:rsidR="008C12BC">
        <w:t>,</w:t>
      </w:r>
      <w:r>
        <w:t xml:space="preserve"> to protect and advance the fundamental human rights of people with disability</w:t>
      </w:r>
      <w:r w:rsidR="00B56B06">
        <w:t>, as</w:t>
      </w:r>
      <w:r>
        <w:t xml:space="preserve"> enshrined in this legislation. QDN acknowledges the role of the Government in delivering a legislative </w:t>
      </w:r>
      <w:r w:rsidR="00982F3B">
        <w:t>framework that</w:t>
      </w:r>
      <w:r>
        <w:t xml:space="preserve"> enables it to efficiently discharge its obligations and operationalise the Scheme</w:t>
      </w:r>
      <w:r w:rsidR="00B56B06">
        <w:t>,</w:t>
      </w:r>
      <w:r>
        <w:t xml:space="preserve"> in an accountable and efficient manner within budget. However, QDN believes safeguards need to be in place within the legislative framework that ensure that accountability and the voice of people with disability and their families and carers is part of the decision making process</w:t>
      </w:r>
      <w:r w:rsidR="00B56B06">
        <w:t xml:space="preserve">, </w:t>
      </w:r>
      <w:r>
        <w:t xml:space="preserve">upholding the principles of the Act. </w:t>
      </w:r>
    </w:p>
    <w:p w:rsidR="00571CF8" w:rsidRDefault="00571CF8" w:rsidP="00571CF8">
      <w:r>
        <w:t xml:space="preserve">QDN would not support any amendments to </w:t>
      </w:r>
      <w:r w:rsidR="00B56B06">
        <w:t xml:space="preserve">the </w:t>
      </w:r>
      <w:r>
        <w:t>legislative framework that enable Rules and Operational Guidelines to be made without transparent democratic processes in place</w:t>
      </w:r>
      <w:r w:rsidR="00B56B06">
        <w:t xml:space="preserve">. This may </w:t>
      </w:r>
      <w:r>
        <w:t>compromise the implementation of this legislation</w:t>
      </w:r>
      <w:r w:rsidR="00B56B06">
        <w:t>,</w:t>
      </w:r>
      <w:r>
        <w:t xml:space="preserve"> to be</w:t>
      </w:r>
      <w:r w:rsidR="008C12BC">
        <w:t>come</w:t>
      </w:r>
      <w:r>
        <w:t xml:space="preserve"> driven only b</w:t>
      </w:r>
      <w:r w:rsidR="00B56B06">
        <w:t>y</w:t>
      </w:r>
      <w:r>
        <w:t xml:space="preserve"> economic rationalist decisions</w:t>
      </w:r>
      <w:r w:rsidR="008C12BC">
        <w:t xml:space="preserve">, rather than </w:t>
      </w:r>
      <w:r>
        <w:t xml:space="preserve">the principles of the Act. </w:t>
      </w:r>
    </w:p>
    <w:p w:rsidR="00571CF8" w:rsidRDefault="00571CF8" w:rsidP="00571CF8">
      <w:r>
        <w:t xml:space="preserve">QDN acknowledges the Government’s responsibility for fiscal management of the </w:t>
      </w:r>
      <w:r w:rsidR="00982F3B">
        <w:t>scheme;</w:t>
      </w:r>
      <w:r>
        <w:t xml:space="preserve"> however this must be achieved in a way that still delivers better outcomes for people with disability and their families/carers</w:t>
      </w:r>
      <w:r w:rsidR="00982F3B">
        <w:t>;</w:t>
      </w:r>
      <w:r>
        <w:t xml:space="preserve"> </w:t>
      </w:r>
      <w:r w:rsidR="00B56B06">
        <w:t xml:space="preserve">and supports them </w:t>
      </w:r>
      <w:r>
        <w:t>to have greater independence,</w:t>
      </w:r>
      <w:r w:rsidR="00C676BB">
        <w:t xml:space="preserve"> choice and control over the services they receive and </w:t>
      </w:r>
      <w:r>
        <w:t>social and economic participation.</w:t>
      </w:r>
    </w:p>
    <w:p w:rsidR="00571CF8" w:rsidRPr="001F488F" w:rsidRDefault="00571CF8" w:rsidP="00571CF8">
      <w:pPr>
        <w:pStyle w:val="Heading3"/>
      </w:pPr>
      <w:bookmarkStart w:id="20" w:name="_Toc432698132"/>
      <w:r w:rsidRPr="001F488F">
        <w:t>4. Becoming a participant</w:t>
      </w:r>
      <w:bookmarkEnd w:id="20"/>
    </w:p>
    <w:p w:rsidR="00C676BB" w:rsidRDefault="00571CF8" w:rsidP="00571CF8">
      <w:r>
        <w:t>QDN acknowledges the complexity around the design and implementation of the Act with regards to eligibili</w:t>
      </w:r>
      <w:r w:rsidR="00982F3B">
        <w:t>ty requirements, driven by the Productivity Commission R</w:t>
      </w:r>
      <w:r>
        <w:t>eport and actuarial modelling</w:t>
      </w:r>
      <w:r w:rsidR="00982F3B">
        <w:t>,</w:t>
      </w:r>
      <w:r>
        <w:t xml:space="preserve"> to deliver a financially sustainable scheme. </w:t>
      </w:r>
      <w:r w:rsidR="00C676BB">
        <w:t xml:space="preserve"> </w:t>
      </w:r>
      <w:r w:rsidR="00982F3B" w:rsidRPr="005D010C">
        <w:t xml:space="preserve">However, QDN members have continued to raise </w:t>
      </w:r>
      <w:r w:rsidR="00C676BB">
        <w:t xml:space="preserve">concern about </w:t>
      </w:r>
      <w:r w:rsidR="00982F3B" w:rsidRPr="005D010C">
        <w:t xml:space="preserve">the age requirement around people with disability needing to be less than 65 years of age to access this scheme. </w:t>
      </w:r>
    </w:p>
    <w:p w:rsidR="00571CF8" w:rsidRDefault="00C676BB" w:rsidP="00571CF8">
      <w:r>
        <w:t>QDN m</w:t>
      </w:r>
      <w:r w:rsidRPr="005D010C">
        <w:t xml:space="preserve">embers </w:t>
      </w:r>
      <w:r w:rsidR="00982F3B" w:rsidRPr="005D010C">
        <w:t xml:space="preserve">continue to </w:t>
      </w:r>
      <w:r w:rsidR="00571CF8" w:rsidRPr="005D010C">
        <w:t xml:space="preserve">raise </w:t>
      </w:r>
      <w:r w:rsidR="00982F3B" w:rsidRPr="005D010C">
        <w:t xml:space="preserve">the </w:t>
      </w:r>
      <w:r w:rsidR="00571CF8" w:rsidRPr="005D010C">
        <w:t xml:space="preserve">inequity of definitions across systems, </w:t>
      </w:r>
      <w:r w:rsidR="00982F3B" w:rsidRPr="005D010C">
        <w:t>as well as pointing out that the Commonwealth Government recently changed the age by which</w:t>
      </w:r>
      <w:r w:rsidR="008C12BC" w:rsidRPr="005D010C">
        <w:t xml:space="preserve"> </w:t>
      </w:r>
      <w:r w:rsidR="008C12BC" w:rsidRPr="005D010C">
        <w:lastRenderedPageBreak/>
        <w:t>Australians can assess their su</w:t>
      </w:r>
      <w:r w:rsidR="00982F3B" w:rsidRPr="005D010C">
        <w:t xml:space="preserve">perannuation and </w:t>
      </w:r>
      <w:r w:rsidR="008C12BC" w:rsidRPr="005D010C">
        <w:t xml:space="preserve">effectively ‘retire from working’. Member feedback to QDN has been that </w:t>
      </w:r>
      <w:r w:rsidR="00982F3B" w:rsidRPr="005D010C">
        <w:t xml:space="preserve">if the Government </w:t>
      </w:r>
      <w:r w:rsidR="005D010C" w:rsidRPr="005D010C">
        <w:t xml:space="preserve">has legislated </w:t>
      </w:r>
      <w:r w:rsidR="00982F3B" w:rsidRPr="005D010C">
        <w:t xml:space="preserve">67 as the new ‘cut-off’ </w:t>
      </w:r>
      <w:r w:rsidR="008C12BC" w:rsidRPr="005D010C">
        <w:t>age around workforce participation</w:t>
      </w:r>
      <w:r>
        <w:t>,</w:t>
      </w:r>
      <w:r w:rsidR="008C12BC" w:rsidRPr="005D010C">
        <w:t xml:space="preserve"> the age eligibility </w:t>
      </w:r>
      <w:r w:rsidR="005D010C" w:rsidRPr="005D010C">
        <w:t xml:space="preserve">around </w:t>
      </w:r>
      <w:r w:rsidR="008C12BC" w:rsidRPr="005D010C">
        <w:t xml:space="preserve">the NDIS should </w:t>
      </w:r>
      <w:r w:rsidR="005D010C" w:rsidRPr="005D010C">
        <w:t xml:space="preserve">parallel this and </w:t>
      </w:r>
      <w:r w:rsidR="008C12BC" w:rsidRPr="005D010C">
        <w:t>also</w:t>
      </w:r>
      <w:r w:rsidR="00571CF8" w:rsidRPr="005D010C">
        <w:t xml:space="preserve"> </w:t>
      </w:r>
      <w:r w:rsidR="005D010C" w:rsidRPr="005D010C">
        <w:t xml:space="preserve">become </w:t>
      </w:r>
      <w:r w:rsidR="00571CF8" w:rsidRPr="005D010C">
        <w:t>67.</w:t>
      </w:r>
      <w:r w:rsidR="00571CF8">
        <w:t xml:space="preserve"> </w:t>
      </w:r>
    </w:p>
    <w:p w:rsidR="00571CF8" w:rsidRDefault="00571CF8" w:rsidP="00571CF8">
      <w:r>
        <w:t xml:space="preserve">The definition of permanency of disability, as reflected in the experiences of participants with psychosocial disability in the trial sites raises implications for </w:t>
      </w:r>
      <w:r w:rsidR="008C12BC">
        <w:t xml:space="preserve">an </w:t>
      </w:r>
      <w:r>
        <w:t xml:space="preserve">individual’s participation and support within </w:t>
      </w:r>
      <w:r w:rsidR="008C12BC">
        <w:t>the scheme. I</w:t>
      </w:r>
      <w:r>
        <w:t xml:space="preserve">ssues </w:t>
      </w:r>
      <w:r w:rsidR="008C12BC">
        <w:t xml:space="preserve">around NDIA planners varied </w:t>
      </w:r>
      <w:r>
        <w:t>defi</w:t>
      </w:r>
      <w:r w:rsidR="00B90A0B">
        <w:t>nition of permanence also raise</w:t>
      </w:r>
      <w:r>
        <w:t xml:space="preserve"> challenges around the nature of </w:t>
      </w:r>
      <w:r w:rsidR="008C12BC">
        <w:t xml:space="preserve">the </w:t>
      </w:r>
      <w:r>
        <w:t>supports</w:t>
      </w:r>
      <w:r w:rsidR="00B90A0B">
        <w:t xml:space="preserve"> – what they look like, how they are delivered and when - across both </w:t>
      </w:r>
      <w:r>
        <w:t xml:space="preserve">early intervention </w:t>
      </w:r>
      <w:r w:rsidR="00B90A0B">
        <w:t xml:space="preserve">and </w:t>
      </w:r>
      <w:r>
        <w:t xml:space="preserve">capacity building supports that sit within </w:t>
      </w:r>
      <w:r w:rsidR="00B90A0B">
        <w:t>individuals’</w:t>
      </w:r>
      <w:r>
        <w:t xml:space="preserve"> plans. </w:t>
      </w:r>
    </w:p>
    <w:p w:rsidR="00571CF8" w:rsidRDefault="00B90A0B" w:rsidP="00571CF8">
      <w:r>
        <w:t xml:space="preserve">Additionally, the </w:t>
      </w:r>
      <w:r w:rsidR="00571CF8">
        <w:t>language of describing supports for people with psychosocial disability with</w:t>
      </w:r>
      <w:r>
        <w:t>in</w:t>
      </w:r>
      <w:r w:rsidR="00571CF8">
        <w:t xml:space="preserve"> Section 25 of the Act as early intervention also does not reflect current best practice within a recovery-orientated framework. It does not acknowledge that these supports for people within this target group</w:t>
      </w:r>
      <w:r>
        <w:t>,</w:t>
      </w:r>
      <w:r w:rsidR="00571CF8">
        <w:t xml:space="preserve"> depending on the nature of the psychosocial </w:t>
      </w:r>
      <w:r>
        <w:t xml:space="preserve">impairment and consequent </w:t>
      </w:r>
      <w:r w:rsidR="00571CF8">
        <w:t>disability</w:t>
      </w:r>
      <w:r>
        <w:t>,</w:t>
      </w:r>
      <w:r w:rsidR="00571CF8">
        <w:t xml:space="preserve"> can be a core support that improves their functional capacity on an ongoing basis due to the chronic nature of their mental health issue. For many participants, without th</w:t>
      </w:r>
      <w:r>
        <w:t>ese</w:t>
      </w:r>
      <w:r w:rsidR="006D1E61">
        <w:t xml:space="preserve"> core supports for areas such as</w:t>
      </w:r>
      <w:r w:rsidR="005C42A9">
        <w:t xml:space="preserve"> </w:t>
      </w:r>
      <w:r w:rsidR="00571CF8">
        <w:t>communication, social interaction</w:t>
      </w:r>
      <w:r w:rsidR="006D1E61">
        <w:t xml:space="preserve">, </w:t>
      </w:r>
      <w:r w:rsidR="00571CF8">
        <w:t xml:space="preserve">learning, </w:t>
      </w:r>
      <w:r w:rsidR="006D1E61">
        <w:t xml:space="preserve">self-care and self-management, </w:t>
      </w:r>
      <w:r w:rsidR="00571CF8">
        <w:t xml:space="preserve">there will be a deterioration of an individual’s </w:t>
      </w:r>
      <w:r w:rsidR="005C42A9">
        <w:t xml:space="preserve">emotional and </w:t>
      </w:r>
      <w:r w:rsidR="00571CF8">
        <w:t>functional capacity where they will require significant interventions and in some cases hospitalisation to ‘</w:t>
      </w:r>
      <w:proofErr w:type="spellStart"/>
      <w:r w:rsidR="00571CF8">
        <w:t>stablise</w:t>
      </w:r>
      <w:proofErr w:type="spellEnd"/>
      <w:r w:rsidR="00571CF8">
        <w:t xml:space="preserve">’ their functioning. This also places pressure on the sustainability of informal supports around the person, and is incongruent with the intention of the legislation. </w:t>
      </w:r>
    </w:p>
    <w:p w:rsidR="00571CF8" w:rsidRDefault="00571CF8" w:rsidP="00571CF8">
      <w:r>
        <w:t xml:space="preserve">QDN believes that the potential for individual participants to ‘fall through the gaps’ of the different systems is heightened through Section 25 (3), and without clearer boundaries and tighter requirements, will see a large number of people with disability, particularly with degenerative, or psychosocial disability be shifted between systems, experiencing </w:t>
      </w:r>
      <w:r w:rsidR="006D1E61">
        <w:t xml:space="preserve">the </w:t>
      </w:r>
      <w:r>
        <w:t>challenges of fractured and fragmented pathways between systems</w:t>
      </w:r>
      <w:r w:rsidR="00C676BB">
        <w:t xml:space="preserve"> and potentially mirroring what exists now.</w:t>
      </w:r>
      <w:r>
        <w:t xml:space="preserve"> </w:t>
      </w:r>
    </w:p>
    <w:p w:rsidR="00571CF8" w:rsidRPr="00571CF8" w:rsidRDefault="00571CF8" w:rsidP="00571CF8">
      <w:pPr>
        <w:pStyle w:val="subsection"/>
        <w:shd w:val="clear" w:color="auto" w:fill="FFFFFF"/>
        <w:spacing w:before="180" w:beforeAutospacing="0" w:after="0" w:afterAutospacing="0"/>
        <w:ind w:left="1134" w:hanging="1134"/>
        <w:rPr>
          <w:rFonts w:asciiTheme="minorHAnsi" w:hAnsiTheme="minorHAnsi"/>
          <w:color w:val="000000"/>
        </w:rPr>
      </w:pPr>
      <w:r>
        <w:rPr>
          <w:color w:val="000000"/>
          <w:sz w:val="22"/>
          <w:szCs w:val="22"/>
        </w:rPr>
        <w:t xml:space="preserve">             (3)  </w:t>
      </w:r>
      <w:r w:rsidRPr="00571CF8">
        <w:rPr>
          <w:rFonts w:asciiTheme="minorHAnsi" w:hAnsiTheme="minorHAnsi"/>
          <w:color w:val="000000"/>
        </w:rPr>
        <w:t>Despite subsections (1) and (2), the person does not</w:t>
      </w:r>
      <w:r w:rsidRPr="00571CF8">
        <w:rPr>
          <w:rStyle w:val="apple-converted-space"/>
          <w:rFonts w:asciiTheme="minorHAnsi" w:hAnsiTheme="minorHAnsi"/>
          <w:b/>
          <w:bCs/>
          <w:i/>
          <w:iCs/>
          <w:color w:val="000000"/>
        </w:rPr>
        <w:t> </w:t>
      </w:r>
      <w:r w:rsidRPr="00571CF8">
        <w:rPr>
          <w:rFonts w:asciiTheme="minorHAnsi" w:hAnsiTheme="minorHAnsi"/>
          <w:b/>
          <w:bCs/>
          <w:i/>
          <w:iCs/>
          <w:color w:val="000000"/>
        </w:rPr>
        <w:t>meet the early intervention requirements</w:t>
      </w:r>
      <w:r w:rsidRPr="00571CF8">
        <w:rPr>
          <w:rStyle w:val="apple-converted-space"/>
          <w:rFonts w:asciiTheme="minorHAnsi" w:hAnsiTheme="minorHAnsi"/>
          <w:color w:val="000000"/>
        </w:rPr>
        <w:t> </w:t>
      </w:r>
      <w:r w:rsidRPr="00571CF8">
        <w:rPr>
          <w:rFonts w:asciiTheme="minorHAnsi" w:hAnsiTheme="minorHAnsi"/>
          <w:color w:val="000000"/>
        </w:rPr>
        <w:t>if the CEO is satisfied that early intervention support for the person is not most appropriately funded or provided through the National Disability Insurance Scheme, and is more appropriately funded or provided through other general systems of service delivery or support services offered by a person, agency or body, or through systems of service delivery or support services offered:</w:t>
      </w:r>
    </w:p>
    <w:p w:rsidR="00571CF8" w:rsidRPr="00571CF8" w:rsidRDefault="00571CF8" w:rsidP="00571CF8">
      <w:pPr>
        <w:pStyle w:val="paragraph"/>
        <w:shd w:val="clear" w:color="auto" w:fill="FFFFFF"/>
        <w:spacing w:before="40" w:beforeAutospacing="0" w:after="0" w:afterAutospacing="0"/>
        <w:ind w:left="1644" w:hanging="1644"/>
        <w:rPr>
          <w:rFonts w:asciiTheme="minorHAnsi" w:hAnsiTheme="minorHAnsi"/>
          <w:color w:val="000000"/>
        </w:rPr>
      </w:pPr>
      <w:r w:rsidRPr="00571CF8">
        <w:rPr>
          <w:rFonts w:asciiTheme="minorHAnsi" w:hAnsiTheme="minorHAnsi"/>
          <w:color w:val="000000"/>
        </w:rPr>
        <w:t xml:space="preserve">                     (a)  </w:t>
      </w:r>
      <w:proofErr w:type="gramStart"/>
      <w:r w:rsidRPr="00571CF8">
        <w:rPr>
          <w:rFonts w:asciiTheme="minorHAnsi" w:hAnsiTheme="minorHAnsi"/>
          <w:color w:val="000000"/>
        </w:rPr>
        <w:t>as</w:t>
      </w:r>
      <w:proofErr w:type="gramEnd"/>
      <w:r w:rsidRPr="00571CF8">
        <w:rPr>
          <w:rFonts w:asciiTheme="minorHAnsi" w:hAnsiTheme="minorHAnsi"/>
          <w:color w:val="000000"/>
        </w:rPr>
        <w:t xml:space="preserve"> part of a universal service obligation; or</w:t>
      </w:r>
    </w:p>
    <w:p w:rsidR="00571CF8" w:rsidRPr="00571CF8" w:rsidRDefault="00571CF8" w:rsidP="00571CF8">
      <w:pPr>
        <w:pStyle w:val="paragraph"/>
        <w:shd w:val="clear" w:color="auto" w:fill="FFFFFF"/>
        <w:spacing w:before="40" w:beforeAutospacing="0" w:after="0" w:afterAutospacing="0"/>
        <w:ind w:left="1644" w:hanging="1644"/>
        <w:rPr>
          <w:rFonts w:asciiTheme="minorHAnsi" w:hAnsiTheme="minorHAnsi"/>
          <w:color w:val="000000"/>
        </w:rPr>
      </w:pPr>
      <w:r w:rsidRPr="00571CF8">
        <w:rPr>
          <w:rFonts w:asciiTheme="minorHAnsi" w:hAnsiTheme="minorHAnsi"/>
          <w:color w:val="000000"/>
        </w:rPr>
        <w:t xml:space="preserve">                     (b)  </w:t>
      </w:r>
      <w:proofErr w:type="gramStart"/>
      <w:r w:rsidRPr="00571CF8">
        <w:rPr>
          <w:rFonts w:asciiTheme="minorHAnsi" w:hAnsiTheme="minorHAnsi"/>
          <w:color w:val="000000"/>
        </w:rPr>
        <w:t>in</w:t>
      </w:r>
      <w:proofErr w:type="gramEnd"/>
      <w:r w:rsidRPr="00571CF8">
        <w:rPr>
          <w:rFonts w:asciiTheme="minorHAnsi" w:hAnsiTheme="minorHAnsi"/>
          <w:color w:val="000000"/>
        </w:rPr>
        <w:t xml:space="preserve"> accordance with reasonable adjustments required under a law dealing with discrimination on the basis of disability.</w:t>
      </w:r>
    </w:p>
    <w:p w:rsidR="005B67F5" w:rsidRDefault="005B67F5" w:rsidP="00571CF8"/>
    <w:p w:rsidR="00D96195" w:rsidRPr="00D96195" w:rsidRDefault="00571CF8" w:rsidP="00571CF8">
      <w:r w:rsidRPr="00D96195">
        <w:lastRenderedPageBreak/>
        <w:t xml:space="preserve">QDN supports </w:t>
      </w:r>
      <w:r w:rsidR="00C676BB">
        <w:t xml:space="preserve">the </w:t>
      </w:r>
      <w:r w:rsidRPr="00D96195">
        <w:t>review of the use of the definition of permanence within the access criteria of the scheme</w:t>
      </w:r>
      <w:r w:rsidR="006D1E61" w:rsidRPr="00D96195">
        <w:t xml:space="preserve">. QDN </w:t>
      </w:r>
      <w:r w:rsidR="005B67F5">
        <w:t xml:space="preserve">especially </w:t>
      </w:r>
      <w:r w:rsidR="00B60142" w:rsidRPr="00D96195">
        <w:t>acknowledges the issues raised for people with serious mental illness in the context of permanency</w:t>
      </w:r>
      <w:r w:rsidR="00D96195" w:rsidRPr="00D96195">
        <w:t xml:space="preserve"> and current approaches to clinical treatment and support in this area.  QDN believes su</w:t>
      </w:r>
      <w:r w:rsidR="006D1E61" w:rsidRPr="00D96195">
        <w:t>fficient evidence exists to demonstrate that people with</w:t>
      </w:r>
      <w:r w:rsidR="005F340C" w:rsidRPr="00D96195">
        <w:t xml:space="preserve"> a </w:t>
      </w:r>
      <w:r w:rsidR="006D1E61" w:rsidRPr="00D96195">
        <w:t>particular mental health diagnosis</w:t>
      </w:r>
      <w:r w:rsidR="00D96195" w:rsidRPr="00D96195">
        <w:t xml:space="preserve"> </w:t>
      </w:r>
      <w:r w:rsidR="003B1D4E" w:rsidRPr="00D96195">
        <w:t xml:space="preserve">have </w:t>
      </w:r>
      <w:r w:rsidR="005D010C" w:rsidRPr="00D96195">
        <w:t xml:space="preserve">every </w:t>
      </w:r>
      <w:r w:rsidR="003B1D4E" w:rsidRPr="00D96195">
        <w:t xml:space="preserve">likelihood of experiencing </w:t>
      </w:r>
      <w:r w:rsidR="005D010C" w:rsidRPr="00D96195">
        <w:t xml:space="preserve">ongoing </w:t>
      </w:r>
      <w:r w:rsidR="003B1D4E" w:rsidRPr="00D96195">
        <w:t xml:space="preserve">acute mental health episodes </w:t>
      </w:r>
      <w:r w:rsidR="005D010C" w:rsidRPr="00D96195">
        <w:t xml:space="preserve">throughout their lives and </w:t>
      </w:r>
      <w:r w:rsidR="00D96195" w:rsidRPr="00D96195">
        <w:t xml:space="preserve">that </w:t>
      </w:r>
      <w:r w:rsidR="005D010C" w:rsidRPr="00D96195">
        <w:t>episode</w:t>
      </w:r>
      <w:r w:rsidR="00D96195" w:rsidRPr="00D96195">
        <w:t>s</w:t>
      </w:r>
      <w:r w:rsidR="005D010C" w:rsidRPr="00D96195">
        <w:t xml:space="preserve"> impair their functional abilities.  </w:t>
      </w:r>
      <w:r w:rsidR="00B60142" w:rsidRPr="00D96195">
        <w:t xml:space="preserve">QDN </w:t>
      </w:r>
      <w:r w:rsidR="00D96195" w:rsidRPr="00D96195">
        <w:t>is also aware</w:t>
      </w:r>
      <w:r w:rsidR="00B60142" w:rsidRPr="00D96195">
        <w:t xml:space="preserve"> the Act’s definition around permanency appears to contradict </w:t>
      </w:r>
      <w:r w:rsidR="005D010C" w:rsidRPr="00D96195">
        <w:t xml:space="preserve">contemporary </w:t>
      </w:r>
      <w:r w:rsidRPr="00D96195">
        <w:t xml:space="preserve">recovery-orientation </w:t>
      </w:r>
      <w:r w:rsidR="005B67F5" w:rsidRPr="00D96195">
        <w:t>approaches</w:t>
      </w:r>
      <w:r w:rsidR="00B60142" w:rsidRPr="00D96195">
        <w:t xml:space="preserve"> seen as ‘best practise’ within this cohort</w:t>
      </w:r>
      <w:r w:rsidR="005B67F5">
        <w:t xml:space="preserve"> and as such, is not something that people with serious mental health issues, their families and carers may embrace</w:t>
      </w:r>
      <w:r w:rsidR="00B60142" w:rsidRPr="00D96195">
        <w:t xml:space="preserve">. </w:t>
      </w:r>
      <w:r w:rsidRPr="00D96195">
        <w:t xml:space="preserve"> </w:t>
      </w:r>
    </w:p>
    <w:p w:rsidR="00571CF8" w:rsidRDefault="005B67F5" w:rsidP="00571CF8">
      <w:r w:rsidRPr="00EF0025">
        <w:t xml:space="preserve">Furthermore, QDN </w:t>
      </w:r>
      <w:r w:rsidR="00571CF8" w:rsidRPr="00EF0025">
        <w:t xml:space="preserve">supports the principles of early intervention and capacity building supports </w:t>
      </w:r>
      <w:r w:rsidR="00EF0025" w:rsidRPr="00EF0025">
        <w:t xml:space="preserve">as QDN member feedback has reinforced that such supports can </w:t>
      </w:r>
      <w:r w:rsidR="00571CF8" w:rsidRPr="00EF0025">
        <w:t>reduce an individual</w:t>
      </w:r>
      <w:r w:rsidR="005D010C" w:rsidRPr="00EF0025">
        <w:t>’</w:t>
      </w:r>
      <w:r w:rsidR="00571CF8" w:rsidRPr="00EF0025">
        <w:t xml:space="preserve">s need for </w:t>
      </w:r>
      <w:r w:rsidR="00EF0025" w:rsidRPr="00EF0025">
        <w:t xml:space="preserve">support as </w:t>
      </w:r>
      <w:r w:rsidR="00571CF8" w:rsidRPr="00EF0025">
        <w:t>their skills and capacity develop in a particular area.</w:t>
      </w:r>
      <w:r w:rsidR="00571CF8">
        <w:t xml:space="preserve">  </w:t>
      </w:r>
    </w:p>
    <w:p w:rsidR="00571CF8" w:rsidRDefault="00571CF8" w:rsidP="00571CF8">
      <w:pPr>
        <w:pStyle w:val="Heading3"/>
      </w:pPr>
    </w:p>
    <w:p w:rsidR="00571CF8" w:rsidRPr="001F488F" w:rsidRDefault="00571CF8" w:rsidP="00571CF8">
      <w:pPr>
        <w:pStyle w:val="Heading3"/>
      </w:pPr>
      <w:bookmarkStart w:id="21" w:name="_Toc432698133"/>
      <w:r w:rsidRPr="001F488F">
        <w:t>5. Participant plans</w:t>
      </w:r>
      <w:bookmarkEnd w:id="21"/>
    </w:p>
    <w:p w:rsidR="00571CF8" w:rsidRDefault="00571CF8" w:rsidP="00571CF8">
      <w:r>
        <w:t xml:space="preserve">QDN acknowledges the importance of the provisions of reasonable and necessary supports within this legislative framework, and supports the balanced approach that enables the discharge of this responsibility with regards to the principles of the legislation. </w:t>
      </w:r>
    </w:p>
    <w:p w:rsidR="00D975AA" w:rsidRDefault="00571CF8" w:rsidP="00571CF8">
      <w:r w:rsidRPr="00D975AA">
        <w:t xml:space="preserve">Within Section 34 which outlines reasonable and necessary supports, QDN believes that </w:t>
      </w:r>
      <w:r w:rsidR="001A3EDC" w:rsidRPr="00D975AA">
        <w:t xml:space="preserve">this needs to reflect the higher order principles and objects of the Act </w:t>
      </w:r>
      <w:r w:rsidR="00D975AA" w:rsidRPr="00D975AA">
        <w:t>and su</w:t>
      </w:r>
      <w:r w:rsidR="001A3EDC" w:rsidRPr="00D975AA">
        <w:t xml:space="preserve">pport the </w:t>
      </w:r>
      <w:r w:rsidR="00D975AA" w:rsidRPr="00D975AA">
        <w:t xml:space="preserve">inclusion of independence with relation to social and economic participation. </w:t>
      </w:r>
    </w:p>
    <w:p w:rsidR="00571CF8" w:rsidRDefault="00571CF8" w:rsidP="00571CF8">
      <w:r>
        <w:t>QDN acknowledges the need for the NDIA to operate within its fiscal responsibilities</w:t>
      </w:r>
      <w:r w:rsidR="00DA2CC0">
        <w:t>,</w:t>
      </w:r>
      <w:r>
        <w:t xml:space="preserve"> to deliver a sustainable scheme within budget. However, a key feature and promise of the scheme has been a shift away from the historical model of funding </w:t>
      </w:r>
      <w:r w:rsidR="00DA2CC0">
        <w:t xml:space="preserve">supports which have </w:t>
      </w:r>
      <w:r>
        <w:t>started from a basis of scarcity and fear and prescribed funding formulas</w:t>
      </w:r>
      <w:r w:rsidR="00DA2CC0">
        <w:t>,</w:t>
      </w:r>
      <w:r>
        <w:t xml:space="preserve"> forcing people with disability to ‘work back from a dollar amount for a prescribed program type’. </w:t>
      </w:r>
    </w:p>
    <w:p w:rsidR="00571CF8" w:rsidRDefault="00571CF8" w:rsidP="00571CF8">
      <w:r>
        <w:t>QDN believes it is important that any prescribed legislative conditions put in place that give control and capacity to the NDIA to ‘control costs’ in relation to individual plans does not compromise the intention, integrity and principles of the scheme</w:t>
      </w:r>
      <w:r w:rsidR="00DA2CC0">
        <w:t>.</w:t>
      </w:r>
      <w:r>
        <w:t xml:space="preserve"> </w:t>
      </w:r>
      <w:r w:rsidR="00DA2CC0">
        <w:t xml:space="preserve">Additionally, it should not </w:t>
      </w:r>
      <w:r>
        <w:t>give rise to imposed bureaucratic processes that force people back into prescriptive funding programs and be required to ‘make their needs fit what’s prescribed’ rather than a needs</w:t>
      </w:r>
      <w:r w:rsidR="00C676BB">
        <w:t>-</w:t>
      </w:r>
      <w:r>
        <w:t>driven design of supports.</w:t>
      </w:r>
    </w:p>
    <w:p w:rsidR="00571CF8" w:rsidRDefault="00571CF8" w:rsidP="00571CF8">
      <w:r>
        <w:t xml:space="preserve">Within Section 48, the legislation prescribes the review of a participant’s plan. QDN supports the continuation of the control that is placed in the hands of the participant to be able to request a review of their plan at any time, in line with the principles of flexibility, and </w:t>
      </w:r>
      <w:r>
        <w:lastRenderedPageBreak/>
        <w:t>acknowledging that individual’s needs can change at any time. While QDN acknowledges the operational implications of resourc</w:t>
      </w:r>
      <w:r w:rsidR="00367C03">
        <w:t>es that this may raise for the A</w:t>
      </w:r>
      <w:r>
        <w:t>gency, it is an important part of the change for individuals with disability who may have spent years with increased support needs</w:t>
      </w:r>
      <w:r w:rsidR="00367C03">
        <w:t>,</w:t>
      </w:r>
      <w:r>
        <w:t xml:space="preserve"> relating to a deterioration of their disability</w:t>
      </w:r>
      <w:r w:rsidR="00367C03">
        <w:t>,</w:t>
      </w:r>
      <w:r>
        <w:t xml:space="preserve"> and no options for seeking other goals and supports to meet these changing needs</w:t>
      </w:r>
      <w:r w:rsidR="00367C03">
        <w:t xml:space="preserve">. This negative situation </w:t>
      </w:r>
      <w:r>
        <w:t>often lead</w:t>
      </w:r>
      <w:r w:rsidR="00367C03">
        <w:t xml:space="preserve">s </w:t>
      </w:r>
      <w:r>
        <w:t xml:space="preserve">to a decrease in </w:t>
      </w:r>
      <w:r w:rsidR="00367C03">
        <w:t xml:space="preserve">an individual’s </w:t>
      </w:r>
      <w:r>
        <w:t xml:space="preserve">quality of life, and decrease in their capacity to have their basic needs met. </w:t>
      </w:r>
    </w:p>
    <w:p w:rsidR="00571CF8" w:rsidRDefault="00571CF8" w:rsidP="00571CF8">
      <w:r>
        <w:t xml:space="preserve">With regards to Section 48 (2) where the CEO makes a decision not to conduct the review at the request of the participant, QDN recommends that the legislation include the requirement </w:t>
      </w:r>
      <w:r w:rsidR="00367C03">
        <w:t xml:space="preserve">that </w:t>
      </w:r>
      <w:r>
        <w:t>an explanation be provided to the participant about the decision</w:t>
      </w:r>
      <w:r w:rsidR="00367C03">
        <w:t xml:space="preserve">, which includes </w:t>
      </w:r>
      <w:r w:rsidR="00C676BB">
        <w:t xml:space="preserve">specific </w:t>
      </w:r>
      <w:r w:rsidR="00367C03">
        <w:t>concrete reasons  rather than a  generic or ‘global’ response</w:t>
      </w:r>
      <w:r>
        <w:t xml:space="preserve">. </w:t>
      </w:r>
    </w:p>
    <w:p w:rsidR="00571CF8" w:rsidRDefault="00571CF8" w:rsidP="00571CF8">
      <w:pPr>
        <w:pStyle w:val="Heading3"/>
      </w:pPr>
      <w:bookmarkStart w:id="22" w:name="_Toc432698134"/>
      <w:r>
        <w:t>6. Registered providers of supports</w:t>
      </w:r>
      <w:bookmarkEnd w:id="22"/>
    </w:p>
    <w:p w:rsidR="00571CF8" w:rsidRDefault="00571CF8" w:rsidP="00571CF8">
      <w:r>
        <w:t xml:space="preserve">QDN believes that any registration process and compliance requirements surrounding providers of support under the NDIS need to </w:t>
      </w:r>
      <w:proofErr w:type="gramStart"/>
      <w:r w:rsidR="00C676BB">
        <w:t>underpinned</w:t>
      </w:r>
      <w:proofErr w:type="gramEnd"/>
      <w:r w:rsidR="00C676BB">
        <w:t xml:space="preserve"> by </w:t>
      </w:r>
      <w:r>
        <w:t xml:space="preserve">the principles of ensuring the delivery of high quality services which safeguard participants from abuse, neglect and exploitation. </w:t>
      </w:r>
    </w:p>
    <w:p w:rsidR="00571CF8" w:rsidRDefault="00571CF8" w:rsidP="00571CF8">
      <w:r>
        <w:t xml:space="preserve">QDN acknowledges that the legislation prescribed arrangements for guidelines and frameworks around issues of quality and safeguards will ensure providers of support comply with a national approach to delivering quality supports. </w:t>
      </w:r>
    </w:p>
    <w:p w:rsidR="00571CF8" w:rsidRDefault="00571CF8" w:rsidP="00571CF8">
      <w:r>
        <w:t xml:space="preserve">QDN understands that </w:t>
      </w:r>
      <w:r w:rsidR="00367C03">
        <w:t xml:space="preserve">the </w:t>
      </w:r>
      <w:r>
        <w:t>compliance burden on providers of support is a significant issue and impacts upon providers</w:t>
      </w:r>
      <w:r w:rsidR="007C199F">
        <w:t>’</w:t>
      </w:r>
      <w:r>
        <w:t xml:space="preserve"> ability to deliver responsive, innovative and effective services directly to people with disability. Currently</w:t>
      </w:r>
      <w:r w:rsidR="00367C03">
        <w:t>,</w:t>
      </w:r>
      <w:r>
        <w:t xml:space="preserve"> under the Registered Providers of Supports rules, registered providers are not required to report to the NDIA on a period</w:t>
      </w:r>
      <w:r w:rsidR="00387C83">
        <w:t>ic</w:t>
      </w:r>
      <w:r>
        <w:t xml:space="preserve"> basis. </w:t>
      </w:r>
    </w:p>
    <w:p w:rsidR="00571CF8" w:rsidRDefault="00571CF8" w:rsidP="00571CF8">
      <w:r>
        <w:t xml:space="preserve">QDN </w:t>
      </w:r>
      <w:r w:rsidR="00387C83">
        <w:t xml:space="preserve">recommends the introduction of </w:t>
      </w:r>
      <w:r>
        <w:t>legislative re</w:t>
      </w:r>
      <w:r w:rsidR="00387C83">
        <w:t xml:space="preserve">quirements which prescribe </w:t>
      </w:r>
      <w:r>
        <w:t xml:space="preserve">periodic reporting to the NDIA at a high level around a number of key areas including: </w:t>
      </w:r>
    </w:p>
    <w:p w:rsidR="00571CF8" w:rsidRDefault="00571CF8" w:rsidP="00571CF8">
      <w:pPr>
        <w:pStyle w:val="ListParagraph"/>
        <w:numPr>
          <w:ilvl w:val="0"/>
          <w:numId w:val="20"/>
        </w:numPr>
        <w:spacing w:after="160" w:line="259" w:lineRule="auto"/>
      </w:pPr>
      <w:r>
        <w:t>Number of participants being supported;</w:t>
      </w:r>
    </w:p>
    <w:p w:rsidR="00571CF8" w:rsidRDefault="00571CF8" w:rsidP="00571CF8">
      <w:pPr>
        <w:pStyle w:val="ListParagraph"/>
        <w:numPr>
          <w:ilvl w:val="0"/>
          <w:numId w:val="20"/>
        </w:numPr>
        <w:spacing w:after="160" w:line="259" w:lineRule="auto"/>
      </w:pPr>
      <w:r>
        <w:t xml:space="preserve">Number of outcomes achieved in </w:t>
      </w:r>
      <w:r w:rsidR="00387C83">
        <w:t xml:space="preserve">the </w:t>
      </w:r>
      <w:r>
        <w:t>reporting period as per individual plans;</w:t>
      </w:r>
    </w:p>
    <w:p w:rsidR="00571CF8" w:rsidRDefault="00571CF8" w:rsidP="00571CF8">
      <w:pPr>
        <w:pStyle w:val="ListParagraph"/>
        <w:numPr>
          <w:ilvl w:val="0"/>
          <w:numId w:val="20"/>
        </w:numPr>
        <w:spacing w:after="160" w:line="259" w:lineRule="auto"/>
      </w:pPr>
      <w:r>
        <w:t xml:space="preserve">Number of reports of allegations of abuse, neglect and exploitation; </w:t>
      </w:r>
    </w:p>
    <w:p w:rsidR="00571CF8" w:rsidRDefault="00571CF8" w:rsidP="00571CF8">
      <w:pPr>
        <w:pStyle w:val="ListParagraph"/>
        <w:numPr>
          <w:ilvl w:val="0"/>
          <w:numId w:val="20"/>
        </w:numPr>
        <w:spacing w:after="160" w:line="259" w:lineRule="auto"/>
      </w:pPr>
      <w:r>
        <w:t xml:space="preserve">Number of complaints to </w:t>
      </w:r>
      <w:r w:rsidR="00C676BB">
        <w:t xml:space="preserve">the </w:t>
      </w:r>
      <w:r>
        <w:t xml:space="preserve">organisation; </w:t>
      </w:r>
      <w:r w:rsidR="00387C83">
        <w:t>and</w:t>
      </w:r>
    </w:p>
    <w:p w:rsidR="00571CF8" w:rsidRPr="005304D6" w:rsidRDefault="00571CF8" w:rsidP="00571CF8">
      <w:pPr>
        <w:pStyle w:val="ListParagraph"/>
        <w:numPr>
          <w:ilvl w:val="0"/>
          <w:numId w:val="20"/>
        </w:numPr>
        <w:spacing w:after="160" w:line="259" w:lineRule="auto"/>
      </w:pPr>
      <w:r>
        <w:t xml:space="preserve">Number of restrictive practices in place and number of restrictive practices reduced within </w:t>
      </w:r>
      <w:r w:rsidR="00387C83">
        <w:t>the reporting period.</w:t>
      </w:r>
    </w:p>
    <w:p w:rsidR="00571CF8" w:rsidRDefault="00571CF8" w:rsidP="00571CF8">
      <w:r>
        <w:t xml:space="preserve">QDN also believes that the NDIA plays a significant role in protecting the safety and rights of people with disability through a registration process which ensures providers of support are qualified and safe to work with vulnerable people, and </w:t>
      </w:r>
      <w:r w:rsidR="00387C83">
        <w:t xml:space="preserve">that </w:t>
      </w:r>
      <w:r>
        <w:t>appropriate checking measures are in place as prescribed</w:t>
      </w:r>
      <w:r w:rsidR="00387C83">
        <w:t>,</w:t>
      </w:r>
      <w:r>
        <w:t xml:space="preserve"> to give power to do so. </w:t>
      </w:r>
    </w:p>
    <w:p w:rsidR="00571CF8" w:rsidRDefault="00571CF8" w:rsidP="00571CF8">
      <w:pPr>
        <w:pStyle w:val="Heading3"/>
      </w:pPr>
      <w:bookmarkStart w:id="23" w:name="_Toc432698135"/>
      <w:r>
        <w:lastRenderedPageBreak/>
        <w:t>7. Nominees</w:t>
      </w:r>
      <w:bookmarkEnd w:id="23"/>
    </w:p>
    <w:p w:rsidR="00571CF8" w:rsidRDefault="00571CF8" w:rsidP="00571CF8">
      <w:r>
        <w:t xml:space="preserve">QDN supports the </w:t>
      </w:r>
      <w:r w:rsidRPr="001A3EDC">
        <w:t>A</w:t>
      </w:r>
      <w:r w:rsidR="001A3EDC" w:rsidRPr="001A3EDC">
        <w:t xml:space="preserve">ustralian Law Reform Commission’s </w:t>
      </w:r>
      <w:r w:rsidRPr="001A3EDC">
        <w:t>recommendations</w:t>
      </w:r>
      <w:r>
        <w:t xml:space="preserve"> regarding the treatment of decision</w:t>
      </w:r>
      <w:r w:rsidR="00C676BB">
        <w:t>-</w:t>
      </w:r>
      <w:r>
        <w:t xml:space="preserve">making under the NDIS Act, and supports the Commonwealth decision-making model and national decision-making principles. QDN believes it is essential that the legislation provides </w:t>
      </w:r>
      <w:r w:rsidR="00387C83">
        <w:t xml:space="preserve">and </w:t>
      </w:r>
      <w:r>
        <w:t>promotes a supported decision</w:t>
      </w:r>
      <w:r w:rsidR="00C676BB">
        <w:t>-</w:t>
      </w:r>
      <w:r>
        <w:t xml:space="preserve">making model that </w:t>
      </w:r>
      <w:r w:rsidR="00387C83">
        <w:t>ensures participants’</w:t>
      </w:r>
      <w:r>
        <w:t xml:space="preserve"> right to make decisions and if needed, get access to support that operates from the basis of the best interest</w:t>
      </w:r>
      <w:r w:rsidR="00387C83">
        <w:t>s</w:t>
      </w:r>
      <w:r>
        <w:t xml:space="preserve"> of the person. </w:t>
      </w:r>
    </w:p>
    <w:p w:rsidR="00571CF8" w:rsidRDefault="00571CF8" w:rsidP="00571CF8">
      <w:r>
        <w:t>QDN believes it is essential that support for decision-making is congruent with the principles of advocacy and done in an independent and impartial way</w:t>
      </w:r>
      <w:r w:rsidR="00387C83">
        <w:t>,</w:t>
      </w:r>
      <w:r>
        <w:t xml:space="preserve"> without conflicts of interest or biases. QDN sees these as an essential</w:t>
      </w:r>
      <w:r w:rsidR="00387C83">
        <w:t>,</w:t>
      </w:r>
      <w:r>
        <w:t xml:space="preserve"> fundamental principle with</w:t>
      </w:r>
      <w:r w:rsidR="00387C83">
        <w:t>in</w:t>
      </w:r>
      <w:r>
        <w:t xml:space="preserve"> a complex market environment where participants with decision</w:t>
      </w:r>
      <w:r w:rsidR="00C676BB">
        <w:t>-</w:t>
      </w:r>
      <w:r>
        <w:t xml:space="preserve">making vulnerabilities may be influenced by market providers. </w:t>
      </w:r>
    </w:p>
    <w:p w:rsidR="00571CF8" w:rsidRDefault="00571CF8" w:rsidP="00571CF8">
      <w:r w:rsidRPr="00D975AA">
        <w:t xml:space="preserve">QDN also believes it is essential </w:t>
      </w:r>
      <w:r w:rsidR="00C676BB" w:rsidRPr="00D975AA">
        <w:t xml:space="preserve">to include </w:t>
      </w:r>
      <w:r w:rsidRPr="00D975AA">
        <w:t>a provision which requires Nominees to undertake to identify the interests and wishes of a participant around element</w:t>
      </w:r>
      <w:r w:rsidR="00C676BB" w:rsidRPr="00D975AA">
        <w:t>s</w:t>
      </w:r>
      <w:r w:rsidRPr="00D975AA">
        <w:t xml:space="preserve"> of the planning and implementation process</w:t>
      </w:r>
      <w:r w:rsidR="001A3EDC" w:rsidRPr="00D975AA">
        <w:t xml:space="preserve">. This would </w:t>
      </w:r>
      <w:r w:rsidRPr="00D975AA">
        <w:t>strengthen this legislation to uphold individual rights within decision</w:t>
      </w:r>
      <w:r w:rsidR="00C676BB" w:rsidRPr="00D975AA">
        <w:t>-</w:t>
      </w:r>
      <w:r w:rsidRPr="00D975AA">
        <w:t>making processes</w:t>
      </w:r>
      <w:r w:rsidR="001A3EDC" w:rsidRPr="00D975AA">
        <w:t xml:space="preserve"> and ensure people with disabilit</w:t>
      </w:r>
      <w:r w:rsidR="00C676BB" w:rsidRPr="00D975AA">
        <w:t xml:space="preserve">ies </w:t>
      </w:r>
      <w:r w:rsidR="001A3EDC" w:rsidRPr="00D975AA">
        <w:t>are consulted</w:t>
      </w:r>
      <w:r w:rsidRPr="00D975AA">
        <w:t>.</w:t>
      </w:r>
      <w:r>
        <w:t xml:space="preserve"> </w:t>
      </w:r>
    </w:p>
    <w:p w:rsidR="00571CF8" w:rsidRDefault="00571CF8" w:rsidP="00571CF8">
      <w:r>
        <w:t>QDN supports the amendments to the NDIS Act to ensure it better integrates with State and Territory legislation with regards to guardianship and administration. It is essential that a hierarchy of decision makers is recognised within this Act</w:t>
      </w:r>
      <w:r w:rsidR="007C199F">
        <w:t>. This needs to ensure</w:t>
      </w:r>
      <w:r>
        <w:t xml:space="preserve"> automatic appointment as a </w:t>
      </w:r>
      <w:r w:rsidR="00C676BB">
        <w:t>N</w:t>
      </w:r>
      <w:r>
        <w:t>ominee of State legislated guardians or administrators who have authority to make decisions about specific matters that would relate to a participant</w:t>
      </w:r>
      <w:r w:rsidR="007C199F">
        <w:t>’</w:t>
      </w:r>
      <w:r>
        <w:t xml:space="preserve">s plan. This will </w:t>
      </w:r>
      <w:r w:rsidR="00C676BB">
        <w:t>ensure</w:t>
      </w:r>
      <w:r w:rsidR="007C199F">
        <w:t xml:space="preserve"> </w:t>
      </w:r>
      <w:r>
        <w:t>that individuals who have formally appointed guardians and administrators are not disadvantaged or forced to experience fragmented and disjointed systems and</w:t>
      </w:r>
      <w:r w:rsidR="007C199F">
        <w:t>,</w:t>
      </w:r>
      <w:r>
        <w:t xml:space="preserve"> as an end-user</w:t>
      </w:r>
      <w:r w:rsidR="007C199F">
        <w:t>,</w:t>
      </w:r>
      <w:r>
        <w:t xml:space="preserve"> have the benefits of an integrated and streamlined system. </w:t>
      </w:r>
    </w:p>
    <w:p w:rsidR="00571CF8" w:rsidRDefault="00571CF8" w:rsidP="00571CF8">
      <w:pPr>
        <w:pStyle w:val="Heading3"/>
      </w:pPr>
      <w:bookmarkStart w:id="24" w:name="_Toc432698136"/>
      <w:r>
        <w:t>10. Governance</w:t>
      </w:r>
      <w:bookmarkEnd w:id="24"/>
    </w:p>
    <w:p w:rsidR="00571CF8" w:rsidRDefault="00571CF8" w:rsidP="00571CF8">
      <w:r>
        <w:t>QDN, as a member based organisation led by a Board of Directors where all voting members have disabilit</w:t>
      </w:r>
      <w:r w:rsidR="00C676BB">
        <w:t xml:space="preserve">ies, </w:t>
      </w:r>
      <w:r>
        <w:t xml:space="preserve">acknowledges the importance of ensuring people with disability are represented within the governance of organisations and have a key role within the decision-making. </w:t>
      </w:r>
    </w:p>
    <w:p w:rsidR="00571CF8" w:rsidRDefault="00571CF8" w:rsidP="00571CF8">
      <w:r>
        <w:t>The</w:t>
      </w:r>
      <w:r w:rsidR="007C199F">
        <w:t xml:space="preserve"> NDIA Act 2013 identifies that B</w:t>
      </w:r>
      <w:r>
        <w:t xml:space="preserve">oard members are required to have knowledge, skills or experience in at least one of four fields. However, the provision for the lived experience of a person with disability is listed as </w:t>
      </w:r>
      <w:proofErr w:type="gramStart"/>
      <w:r>
        <w:t>an</w:t>
      </w:r>
      <w:r w:rsidR="007C199F">
        <w:t>/</w:t>
      </w:r>
      <w:proofErr w:type="gramEnd"/>
      <w:r>
        <w:t xml:space="preserve">or within field (1) alongside a provider of disability services experience. The current prescribed requirements mean that field (1) can be either fulfilled by service provider knowledge, skills or experience or that of a user of disability services. QDN recommends that to ensure the voice of people with disability is at the table </w:t>
      </w:r>
      <w:r>
        <w:lastRenderedPageBreak/>
        <w:t xml:space="preserve">and a core part of the decision making of the Board, that field (1) be separated to include a provision for skills, experience or knowledge of the field of use of disability services. </w:t>
      </w:r>
    </w:p>
    <w:p w:rsidR="00571CF8" w:rsidRDefault="00571CF8" w:rsidP="00571CF8">
      <w:r>
        <w:t xml:space="preserve">To further ensure the voice of people with disability is well represented within the Governance of the NDIA, QDN recommends that a prescribed number </w:t>
      </w:r>
      <w:r w:rsidR="00D975AA">
        <w:t xml:space="preserve">of people with disability are </w:t>
      </w:r>
      <w:r>
        <w:t xml:space="preserve">s given to the number of members on the Independent Advisory Council key representation criteria (1). This </w:t>
      </w:r>
      <w:proofErr w:type="gramStart"/>
      <w:r>
        <w:t>criteria</w:t>
      </w:r>
      <w:proofErr w:type="gramEnd"/>
      <w:r>
        <w:t xml:space="preserve"> currently states that ‘a majority of the mem</w:t>
      </w:r>
      <w:r w:rsidR="007C199F">
        <w:t>bers are people with disability</w:t>
      </w:r>
      <w:r>
        <w:t xml:space="preserve">, while other criteria state that ‘at least two members are carers of people with disability’ for example. QDN believes this </w:t>
      </w:r>
      <w:r w:rsidR="00D975AA">
        <w:t xml:space="preserve">ensuring there </w:t>
      </w:r>
      <w:proofErr w:type="gramStart"/>
      <w:r w:rsidR="00D975AA">
        <w:t>is a specific minimum number of people</w:t>
      </w:r>
      <w:proofErr w:type="gramEnd"/>
      <w:r w:rsidR="00D975AA">
        <w:t xml:space="preserve"> with disability as members of the Independent Advisory Council </w:t>
      </w:r>
      <w:r>
        <w:t>would support greater transparency and accountability</w:t>
      </w:r>
      <w:r w:rsidR="00D975AA">
        <w:t xml:space="preserve"> and that the voice of people with disability is central to the decision making and governance of the Agency</w:t>
      </w:r>
      <w:r>
        <w:t xml:space="preserve">. </w:t>
      </w:r>
    </w:p>
    <w:p w:rsidR="00571CF8" w:rsidRDefault="00571CF8" w:rsidP="00571CF8">
      <w:pPr>
        <w:pStyle w:val="Heading3"/>
      </w:pPr>
      <w:bookmarkStart w:id="25" w:name="_Toc432698137"/>
      <w:r>
        <w:t>Conclusion</w:t>
      </w:r>
      <w:bookmarkEnd w:id="25"/>
    </w:p>
    <w:p w:rsidR="00571CF8" w:rsidRDefault="00571CF8" w:rsidP="00571CF8">
      <w:r>
        <w:t xml:space="preserve">QDN believes it is vital that any amendments to this legislation remain true to the intention and principles of the scheme which focus on enabling people with disability to have access to the supports they need to participate socially and economically in their communities and have their needs met in order to live their life. </w:t>
      </w:r>
    </w:p>
    <w:p w:rsidR="00571CF8" w:rsidRDefault="00571CF8" w:rsidP="00F47A5B">
      <w:r>
        <w:t>QDN recognises the need of Government to deliver an economically sustainable and viable scheme within its allocated fiscal resources, however, highlights the importance of delivering outcomes for people with disability which give effect to Australia’s obligations under the</w:t>
      </w:r>
      <w:r w:rsidR="007C199F">
        <w:t xml:space="preserve"> </w:t>
      </w:r>
      <w:r w:rsidR="007C199F" w:rsidRPr="007C199F">
        <w:t>Convention on the Rights of Persons with Disabilities</w:t>
      </w:r>
      <w:r>
        <w:t xml:space="preserve">. </w:t>
      </w:r>
    </w:p>
    <w:sectPr w:rsidR="00571CF8" w:rsidSect="0045504C">
      <w:headerReference w:type="even" r:id="rId10"/>
      <w:headerReference w:type="default" r:id="rId11"/>
      <w:footerReference w:type="even" r:id="rId12"/>
      <w:footerReference w:type="default" r:id="rId13"/>
      <w:pgSz w:w="11906" w:h="16838"/>
      <w:pgMar w:top="1440" w:right="1440" w:bottom="1440" w:left="1440" w:header="426" w:footer="6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968" w:rsidRDefault="00275968" w:rsidP="0045504C">
      <w:pPr>
        <w:spacing w:after="0" w:line="240" w:lineRule="auto"/>
      </w:pPr>
      <w:r>
        <w:separator/>
      </w:r>
    </w:p>
  </w:endnote>
  <w:endnote w:type="continuationSeparator" w:id="0">
    <w:p w:rsidR="00275968" w:rsidRDefault="00275968" w:rsidP="0045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19849"/>
      <w:docPartObj>
        <w:docPartGallery w:val="Page Numbers (Bottom of Page)"/>
        <w:docPartUnique/>
      </w:docPartObj>
    </w:sdtPr>
    <w:sdtEndPr>
      <w:rPr>
        <w:color w:val="7F7F7F" w:themeColor="background1" w:themeShade="7F"/>
        <w:spacing w:val="60"/>
      </w:rPr>
    </w:sdtEndPr>
    <w:sdtContent>
      <w:p w:rsidR="002A3EF5" w:rsidRDefault="002A3EF5" w:rsidP="002A3EF5">
        <w:pPr>
          <w:pStyle w:val="Footer"/>
        </w:pPr>
        <w:r>
          <w:t xml:space="preserve">Queenslanders with Disability Network LTD          </w:t>
        </w:r>
        <w:r>
          <w:tab/>
        </w:r>
        <w:r w:rsidRPr="00D1142C">
          <w:t>National Disability Advocacy Framework</w:t>
        </w:r>
      </w:p>
      <w:p w:rsidR="002A3EF5" w:rsidRDefault="00D72184" w:rsidP="002A3EF5">
        <w:pPr>
          <w:pStyle w:val="Footer"/>
        </w:pPr>
        <w:hyperlink r:id="rId1" w:history="1">
          <w:r w:rsidR="002A3EF5" w:rsidRPr="00A558E1">
            <w:rPr>
              <w:rStyle w:val="Hyperlink"/>
            </w:rPr>
            <w:t>www.qdn.org.au</w:t>
          </w:r>
        </w:hyperlink>
        <w:r w:rsidR="002A3EF5">
          <w:t xml:space="preserve">                                                                                     </w:t>
        </w:r>
        <w:r w:rsidR="002A3EF5">
          <w:tab/>
          <w:t>24 July 2015</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EF5" w:rsidRDefault="002A3EF5" w:rsidP="002A3EF5">
    <w:pPr>
      <w:pStyle w:val="Footer"/>
    </w:pPr>
  </w:p>
  <w:p w:rsidR="002A3EF5" w:rsidRDefault="002A3EF5" w:rsidP="002A3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968" w:rsidRDefault="00275968" w:rsidP="0045504C">
      <w:pPr>
        <w:spacing w:after="0" w:line="240" w:lineRule="auto"/>
      </w:pPr>
      <w:r>
        <w:separator/>
      </w:r>
    </w:p>
  </w:footnote>
  <w:footnote w:type="continuationSeparator" w:id="0">
    <w:p w:rsidR="00275968" w:rsidRDefault="00275968" w:rsidP="00455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812972257"/>
      <w:docPartObj>
        <w:docPartGallery w:val="Page Numbers (Top of Page)"/>
        <w:docPartUnique/>
      </w:docPartObj>
    </w:sdtPr>
    <w:sdtEndPr>
      <w:rPr>
        <w:b/>
        <w:bCs/>
        <w:noProof/>
        <w:color w:val="auto"/>
        <w:spacing w:val="0"/>
      </w:rPr>
    </w:sdtEndPr>
    <w:sdtContent>
      <w:p w:rsidR="002A3EF5" w:rsidRDefault="002A3EF5" w:rsidP="002A3EF5">
        <w:pPr>
          <w:pStyle w:val="Header"/>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FE3D5D">
          <w:rPr>
            <w:b/>
            <w:bCs/>
            <w:noProof/>
          </w:rPr>
          <w:t>10</w:t>
        </w:r>
        <w:r>
          <w:rPr>
            <w:b/>
            <w:bCs/>
            <w:noProof/>
          </w:rPr>
          <w:fldChar w:fldCharType="end"/>
        </w:r>
      </w:p>
    </w:sdtContent>
  </w:sdt>
  <w:p w:rsidR="002A3EF5" w:rsidRDefault="002A3EF5" w:rsidP="002A3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61378778"/>
      <w:docPartObj>
        <w:docPartGallery w:val="Page Numbers (Top of Page)"/>
        <w:docPartUnique/>
      </w:docPartObj>
    </w:sdtPr>
    <w:sdtEndPr>
      <w:rPr>
        <w:b/>
        <w:bCs/>
        <w:noProof/>
        <w:color w:val="auto"/>
        <w:spacing w:val="0"/>
      </w:rPr>
    </w:sdtEndPr>
    <w:sdtContent>
      <w:p w:rsidR="002A3EF5" w:rsidRDefault="002A3EF5" w:rsidP="002A3EF5">
        <w:pPr>
          <w:pStyle w:val="Header"/>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D72184" w:rsidRPr="00D72184">
          <w:rPr>
            <w:b/>
            <w:bCs/>
            <w:noProof/>
          </w:rPr>
          <w:t>2</w:t>
        </w:r>
        <w:r>
          <w:rPr>
            <w:b/>
            <w:bCs/>
            <w:noProof/>
          </w:rPr>
          <w:fldChar w:fldCharType="end"/>
        </w:r>
      </w:p>
    </w:sdtContent>
  </w:sdt>
  <w:p w:rsidR="002A3EF5" w:rsidRDefault="002A3EF5" w:rsidP="002A3EF5">
    <w:pPr>
      <w:pStyle w:val="Header"/>
    </w:pPr>
  </w:p>
  <w:p w:rsidR="002A3EF5" w:rsidRDefault="002A3EF5" w:rsidP="002A3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E9B"/>
    <w:multiLevelType w:val="hybridMultilevel"/>
    <w:tmpl w:val="F3F45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1D302A"/>
    <w:multiLevelType w:val="hybridMultilevel"/>
    <w:tmpl w:val="E9D2C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2D2E65"/>
    <w:multiLevelType w:val="hybridMultilevel"/>
    <w:tmpl w:val="03BA5736"/>
    <w:lvl w:ilvl="0" w:tplc="B78277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BE31EE"/>
    <w:multiLevelType w:val="hybridMultilevel"/>
    <w:tmpl w:val="B156D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07F2DAE"/>
    <w:multiLevelType w:val="hybridMultilevel"/>
    <w:tmpl w:val="64DE0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BDD471A"/>
    <w:multiLevelType w:val="hybridMultilevel"/>
    <w:tmpl w:val="04906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B57889"/>
    <w:multiLevelType w:val="hybridMultilevel"/>
    <w:tmpl w:val="E318CC1A"/>
    <w:lvl w:ilvl="0" w:tplc="B78277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527027"/>
    <w:multiLevelType w:val="hybridMultilevel"/>
    <w:tmpl w:val="B8D8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0B30E9"/>
    <w:multiLevelType w:val="hybridMultilevel"/>
    <w:tmpl w:val="6DFA8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657CCA"/>
    <w:multiLevelType w:val="hybridMultilevel"/>
    <w:tmpl w:val="4600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7BE5FCF"/>
    <w:multiLevelType w:val="hybridMultilevel"/>
    <w:tmpl w:val="A148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8F03EAF"/>
    <w:multiLevelType w:val="hybridMultilevel"/>
    <w:tmpl w:val="7E248E92"/>
    <w:lvl w:ilvl="0" w:tplc="B78277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F5494F"/>
    <w:multiLevelType w:val="hybridMultilevel"/>
    <w:tmpl w:val="394E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E95094E"/>
    <w:multiLevelType w:val="hybridMultilevel"/>
    <w:tmpl w:val="3668B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012417F"/>
    <w:multiLevelType w:val="hybridMultilevel"/>
    <w:tmpl w:val="B8B45A60"/>
    <w:lvl w:ilvl="0" w:tplc="71A8990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0164C84"/>
    <w:multiLevelType w:val="hybridMultilevel"/>
    <w:tmpl w:val="4B94E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67363E2"/>
    <w:multiLevelType w:val="hybridMultilevel"/>
    <w:tmpl w:val="B04CD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8D069E"/>
    <w:multiLevelType w:val="hybridMultilevel"/>
    <w:tmpl w:val="B7BC5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EC810A9"/>
    <w:multiLevelType w:val="hybridMultilevel"/>
    <w:tmpl w:val="65CA6FF6"/>
    <w:lvl w:ilvl="0" w:tplc="7062E51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AB1196"/>
    <w:multiLevelType w:val="hybridMultilevel"/>
    <w:tmpl w:val="B1407434"/>
    <w:lvl w:ilvl="0" w:tplc="B78277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1"/>
  </w:num>
  <w:num w:numId="5">
    <w:abstractNumId w:val="17"/>
  </w:num>
  <w:num w:numId="6">
    <w:abstractNumId w:val="15"/>
  </w:num>
  <w:num w:numId="7">
    <w:abstractNumId w:val="8"/>
  </w:num>
  <w:num w:numId="8">
    <w:abstractNumId w:val="16"/>
  </w:num>
  <w:num w:numId="9">
    <w:abstractNumId w:val="10"/>
  </w:num>
  <w:num w:numId="10">
    <w:abstractNumId w:val="0"/>
  </w:num>
  <w:num w:numId="11">
    <w:abstractNumId w:val="5"/>
  </w:num>
  <w:num w:numId="12">
    <w:abstractNumId w:val="9"/>
  </w:num>
  <w:num w:numId="13">
    <w:abstractNumId w:val="19"/>
  </w:num>
  <w:num w:numId="14">
    <w:abstractNumId w:val="6"/>
  </w:num>
  <w:num w:numId="15">
    <w:abstractNumId w:val="2"/>
  </w:num>
  <w:num w:numId="16">
    <w:abstractNumId w:val="7"/>
  </w:num>
  <w:num w:numId="17">
    <w:abstractNumId w:val="13"/>
  </w:num>
  <w:num w:numId="18">
    <w:abstractNumId w:val="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04C"/>
    <w:rsid w:val="00003237"/>
    <w:rsid w:val="00003A8D"/>
    <w:rsid w:val="00007038"/>
    <w:rsid w:val="000264F1"/>
    <w:rsid w:val="00026D41"/>
    <w:rsid w:val="00061C8E"/>
    <w:rsid w:val="000A20DF"/>
    <w:rsid w:val="000A2D71"/>
    <w:rsid w:val="000B05C1"/>
    <w:rsid w:val="000C276A"/>
    <w:rsid w:val="000E05B0"/>
    <w:rsid w:val="0011256A"/>
    <w:rsid w:val="00134005"/>
    <w:rsid w:val="001602B2"/>
    <w:rsid w:val="0016045B"/>
    <w:rsid w:val="00191D3C"/>
    <w:rsid w:val="00193314"/>
    <w:rsid w:val="001A12CD"/>
    <w:rsid w:val="001A3EDC"/>
    <w:rsid w:val="00206970"/>
    <w:rsid w:val="00242D78"/>
    <w:rsid w:val="002443C7"/>
    <w:rsid w:val="00253B90"/>
    <w:rsid w:val="00275968"/>
    <w:rsid w:val="002A3EF5"/>
    <w:rsid w:val="002B0B66"/>
    <w:rsid w:val="002C0886"/>
    <w:rsid w:val="002C4AC8"/>
    <w:rsid w:val="002D2286"/>
    <w:rsid w:val="002D69C9"/>
    <w:rsid w:val="002F5FF4"/>
    <w:rsid w:val="00302516"/>
    <w:rsid w:val="00303DF8"/>
    <w:rsid w:val="00321BD8"/>
    <w:rsid w:val="00324199"/>
    <w:rsid w:val="003259F5"/>
    <w:rsid w:val="00360204"/>
    <w:rsid w:val="00367C03"/>
    <w:rsid w:val="0037001A"/>
    <w:rsid w:val="00370E17"/>
    <w:rsid w:val="00371E75"/>
    <w:rsid w:val="00374BFA"/>
    <w:rsid w:val="0038175B"/>
    <w:rsid w:val="00384C5E"/>
    <w:rsid w:val="00387C83"/>
    <w:rsid w:val="003B1D4E"/>
    <w:rsid w:val="003D7BC4"/>
    <w:rsid w:val="00402EDF"/>
    <w:rsid w:val="00424CF4"/>
    <w:rsid w:val="0043355F"/>
    <w:rsid w:val="0045504C"/>
    <w:rsid w:val="0049503D"/>
    <w:rsid w:val="00496945"/>
    <w:rsid w:val="00496A76"/>
    <w:rsid w:val="004A21E7"/>
    <w:rsid w:val="004E6D16"/>
    <w:rsid w:val="005135F7"/>
    <w:rsid w:val="00561177"/>
    <w:rsid w:val="00561780"/>
    <w:rsid w:val="00571CF8"/>
    <w:rsid w:val="005B67F5"/>
    <w:rsid w:val="005C42A9"/>
    <w:rsid w:val="005D010C"/>
    <w:rsid w:val="005F1A2A"/>
    <w:rsid w:val="005F340C"/>
    <w:rsid w:val="00610F8A"/>
    <w:rsid w:val="00671D66"/>
    <w:rsid w:val="0067583E"/>
    <w:rsid w:val="0069378B"/>
    <w:rsid w:val="006D1E61"/>
    <w:rsid w:val="006D3A76"/>
    <w:rsid w:val="006D43C6"/>
    <w:rsid w:val="006E0F7A"/>
    <w:rsid w:val="006F29B2"/>
    <w:rsid w:val="006F7432"/>
    <w:rsid w:val="00702771"/>
    <w:rsid w:val="00730825"/>
    <w:rsid w:val="0074002A"/>
    <w:rsid w:val="007505DA"/>
    <w:rsid w:val="007531EF"/>
    <w:rsid w:val="00753B7B"/>
    <w:rsid w:val="00765977"/>
    <w:rsid w:val="007821B5"/>
    <w:rsid w:val="00786ADC"/>
    <w:rsid w:val="00794CDC"/>
    <w:rsid w:val="007A5EE3"/>
    <w:rsid w:val="007C199F"/>
    <w:rsid w:val="007F07B0"/>
    <w:rsid w:val="0081326A"/>
    <w:rsid w:val="008466B9"/>
    <w:rsid w:val="00871903"/>
    <w:rsid w:val="008C12BC"/>
    <w:rsid w:val="008C1576"/>
    <w:rsid w:val="00922D5B"/>
    <w:rsid w:val="00930506"/>
    <w:rsid w:val="00937ADD"/>
    <w:rsid w:val="00963F62"/>
    <w:rsid w:val="00982F3B"/>
    <w:rsid w:val="00992BE4"/>
    <w:rsid w:val="009B37B0"/>
    <w:rsid w:val="009B40AC"/>
    <w:rsid w:val="009C0B90"/>
    <w:rsid w:val="009C234F"/>
    <w:rsid w:val="009C4D14"/>
    <w:rsid w:val="009D0ADD"/>
    <w:rsid w:val="009F5518"/>
    <w:rsid w:val="009F7D30"/>
    <w:rsid w:val="00A10C8B"/>
    <w:rsid w:val="00A3162E"/>
    <w:rsid w:val="00A70798"/>
    <w:rsid w:val="00A814D3"/>
    <w:rsid w:val="00A868C7"/>
    <w:rsid w:val="00A94FE6"/>
    <w:rsid w:val="00AA7E4D"/>
    <w:rsid w:val="00AC75EA"/>
    <w:rsid w:val="00AE4F1B"/>
    <w:rsid w:val="00B0195F"/>
    <w:rsid w:val="00B037F9"/>
    <w:rsid w:val="00B24631"/>
    <w:rsid w:val="00B54F81"/>
    <w:rsid w:val="00B56B06"/>
    <w:rsid w:val="00B60142"/>
    <w:rsid w:val="00B641E9"/>
    <w:rsid w:val="00B90A0B"/>
    <w:rsid w:val="00B96688"/>
    <w:rsid w:val="00BE57A2"/>
    <w:rsid w:val="00BF786E"/>
    <w:rsid w:val="00C046E9"/>
    <w:rsid w:val="00C43A1C"/>
    <w:rsid w:val="00C66508"/>
    <w:rsid w:val="00C676BB"/>
    <w:rsid w:val="00CB3B42"/>
    <w:rsid w:val="00CD4B3D"/>
    <w:rsid w:val="00CE1308"/>
    <w:rsid w:val="00CF5968"/>
    <w:rsid w:val="00D13E05"/>
    <w:rsid w:val="00D20DC4"/>
    <w:rsid w:val="00D248D4"/>
    <w:rsid w:val="00D31804"/>
    <w:rsid w:val="00D506B0"/>
    <w:rsid w:val="00D52C02"/>
    <w:rsid w:val="00D54138"/>
    <w:rsid w:val="00D633C9"/>
    <w:rsid w:val="00D72184"/>
    <w:rsid w:val="00D96195"/>
    <w:rsid w:val="00D975AA"/>
    <w:rsid w:val="00DA2CC0"/>
    <w:rsid w:val="00E237F7"/>
    <w:rsid w:val="00E53076"/>
    <w:rsid w:val="00E77566"/>
    <w:rsid w:val="00ED32DC"/>
    <w:rsid w:val="00EE5417"/>
    <w:rsid w:val="00EF0025"/>
    <w:rsid w:val="00F227A5"/>
    <w:rsid w:val="00F24051"/>
    <w:rsid w:val="00F3554E"/>
    <w:rsid w:val="00F40E12"/>
    <w:rsid w:val="00F47A5B"/>
    <w:rsid w:val="00F672EF"/>
    <w:rsid w:val="00FA0B88"/>
    <w:rsid w:val="00FE2427"/>
    <w:rsid w:val="00FF2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4C"/>
    <w:rPr>
      <w:sz w:val="24"/>
      <w:szCs w:val="24"/>
    </w:rPr>
  </w:style>
  <w:style w:type="paragraph" w:styleId="Heading1">
    <w:name w:val="heading 1"/>
    <w:basedOn w:val="Normal"/>
    <w:next w:val="Normal"/>
    <w:link w:val="Heading1Char"/>
    <w:uiPriority w:val="9"/>
    <w:qFormat/>
    <w:rsid w:val="0045504C"/>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45504C"/>
    <w:pPr>
      <w:outlineLvl w:val="1"/>
    </w:pPr>
    <w:rPr>
      <w:b/>
      <w:caps/>
      <w:color w:val="081594"/>
      <w:sz w:val="40"/>
      <w:szCs w:val="40"/>
    </w:rPr>
  </w:style>
  <w:style w:type="paragraph" w:styleId="Heading3">
    <w:name w:val="heading 3"/>
    <w:basedOn w:val="Normal"/>
    <w:next w:val="Normal"/>
    <w:link w:val="Heading3Char"/>
    <w:uiPriority w:val="9"/>
    <w:unhideWhenUsed/>
    <w:qFormat/>
    <w:rsid w:val="0045504C"/>
    <w:pPr>
      <w:outlineLvl w:val="2"/>
    </w:pPr>
    <w:rPr>
      <w:b/>
      <w:color w:val="081594"/>
      <w:sz w:val="36"/>
      <w:szCs w:val="28"/>
    </w:rPr>
  </w:style>
  <w:style w:type="paragraph" w:styleId="Heading4">
    <w:name w:val="heading 4"/>
    <w:basedOn w:val="Normal"/>
    <w:next w:val="Normal"/>
    <w:link w:val="Heading4Char"/>
    <w:uiPriority w:val="9"/>
    <w:unhideWhenUsed/>
    <w:qFormat/>
    <w:rsid w:val="0069378B"/>
    <w:pPr>
      <w:keepNext/>
      <w:keepLines/>
      <w:spacing w:before="200" w:after="0"/>
      <w:outlineLvl w:val="3"/>
    </w:pPr>
    <w:rPr>
      <w:rFonts w:asciiTheme="majorHAnsi" w:eastAsiaTheme="majorEastAsia" w:hAnsiTheme="majorHAnsi" w:cstheme="majorBidi"/>
      <w:b/>
      <w:bCs/>
      <w:iCs/>
      <w:color w:val="08159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4C"/>
    <w:rPr>
      <w:b/>
      <w:noProof/>
      <w:color w:val="081594"/>
      <w:sz w:val="52"/>
      <w:szCs w:val="52"/>
      <w:lang w:eastAsia="en-AU"/>
    </w:rPr>
  </w:style>
  <w:style w:type="character" w:customStyle="1" w:styleId="Heading2Char">
    <w:name w:val="Heading 2 Char"/>
    <w:basedOn w:val="DefaultParagraphFont"/>
    <w:link w:val="Heading2"/>
    <w:uiPriority w:val="9"/>
    <w:rsid w:val="0045504C"/>
    <w:rPr>
      <w:b/>
      <w:caps/>
      <w:color w:val="081594"/>
      <w:sz w:val="40"/>
      <w:szCs w:val="40"/>
    </w:rPr>
  </w:style>
  <w:style w:type="character" w:customStyle="1" w:styleId="Heading3Char">
    <w:name w:val="Heading 3 Char"/>
    <w:basedOn w:val="DefaultParagraphFont"/>
    <w:link w:val="Heading3"/>
    <w:uiPriority w:val="9"/>
    <w:rsid w:val="0045504C"/>
    <w:rPr>
      <w:b/>
      <w:color w:val="081594"/>
      <w:sz w:val="36"/>
      <w:szCs w:val="28"/>
    </w:rPr>
  </w:style>
  <w:style w:type="character" w:customStyle="1" w:styleId="Heading4Char">
    <w:name w:val="Heading 4 Char"/>
    <w:basedOn w:val="DefaultParagraphFont"/>
    <w:link w:val="Heading4"/>
    <w:uiPriority w:val="9"/>
    <w:rsid w:val="0069378B"/>
    <w:rPr>
      <w:rFonts w:asciiTheme="majorHAnsi" w:eastAsiaTheme="majorEastAsia" w:hAnsiTheme="majorHAnsi" w:cstheme="majorBidi"/>
      <w:b/>
      <w:bCs/>
      <w:iCs/>
      <w:color w:val="081594"/>
      <w:sz w:val="28"/>
      <w:szCs w:val="24"/>
    </w:rPr>
  </w:style>
  <w:style w:type="paragraph" w:styleId="ListParagraph">
    <w:name w:val="List Paragraph"/>
    <w:basedOn w:val="Normal"/>
    <w:uiPriority w:val="34"/>
    <w:qFormat/>
    <w:rsid w:val="0045504C"/>
    <w:pPr>
      <w:ind w:left="720"/>
      <w:contextualSpacing/>
    </w:pPr>
  </w:style>
  <w:style w:type="character" w:styleId="Hyperlink">
    <w:name w:val="Hyperlink"/>
    <w:basedOn w:val="DefaultParagraphFont"/>
    <w:uiPriority w:val="99"/>
    <w:unhideWhenUsed/>
    <w:rsid w:val="0045504C"/>
    <w:rPr>
      <w:color w:val="0000FF"/>
      <w:u w:val="single"/>
    </w:rPr>
  </w:style>
  <w:style w:type="paragraph" w:styleId="Header">
    <w:name w:val="header"/>
    <w:basedOn w:val="Normal"/>
    <w:link w:val="HeaderChar"/>
    <w:uiPriority w:val="99"/>
    <w:unhideWhenUsed/>
    <w:rsid w:val="0045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4C"/>
    <w:rPr>
      <w:sz w:val="24"/>
      <w:szCs w:val="24"/>
    </w:rPr>
  </w:style>
  <w:style w:type="paragraph" w:styleId="Footer">
    <w:name w:val="footer"/>
    <w:basedOn w:val="Normal"/>
    <w:link w:val="FooterChar"/>
    <w:uiPriority w:val="99"/>
    <w:unhideWhenUsed/>
    <w:rsid w:val="0045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4C"/>
    <w:rPr>
      <w:sz w:val="24"/>
      <w:szCs w:val="24"/>
    </w:rPr>
  </w:style>
  <w:style w:type="paragraph" w:styleId="TOCHeading">
    <w:name w:val="TOC Heading"/>
    <w:basedOn w:val="Heading1"/>
    <w:next w:val="Normal"/>
    <w:uiPriority w:val="39"/>
    <w:unhideWhenUsed/>
    <w:qFormat/>
    <w:rsid w:val="0045504C"/>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2">
    <w:name w:val="toc 2"/>
    <w:basedOn w:val="Normal"/>
    <w:next w:val="Normal"/>
    <w:autoRedefine/>
    <w:uiPriority w:val="39"/>
    <w:unhideWhenUsed/>
    <w:rsid w:val="0045504C"/>
    <w:pPr>
      <w:tabs>
        <w:tab w:val="right" w:leader="dot" w:pos="9016"/>
      </w:tabs>
      <w:spacing w:after="100"/>
    </w:pPr>
    <w:rPr>
      <w:noProof/>
      <w:color w:val="1F497D" w:themeColor="text2"/>
    </w:rPr>
  </w:style>
  <w:style w:type="paragraph" w:styleId="TOC3">
    <w:name w:val="toc 3"/>
    <w:basedOn w:val="Normal"/>
    <w:next w:val="Normal"/>
    <w:autoRedefine/>
    <w:uiPriority w:val="39"/>
    <w:unhideWhenUsed/>
    <w:rsid w:val="0045504C"/>
    <w:pPr>
      <w:tabs>
        <w:tab w:val="right" w:leader="dot" w:pos="9016"/>
      </w:tabs>
      <w:spacing w:after="100"/>
    </w:pPr>
    <w:rPr>
      <w:noProof/>
      <w:color w:val="002060"/>
    </w:rPr>
  </w:style>
  <w:style w:type="paragraph" w:styleId="FootnoteText">
    <w:name w:val="footnote text"/>
    <w:basedOn w:val="Normal"/>
    <w:link w:val="FootnoteTextChar"/>
    <w:uiPriority w:val="99"/>
    <w:unhideWhenUsed/>
    <w:rsid w:val="0045504C"/>
    <w:pPr>
      <w:spacing w:after="0" w:line="240" w:lineRule="auto"/>
    </w:pPr>
    <w:rPr>
      <w:sz w:val="20"/>
      <w:szCs w:val="20"/>
    </w:rPr>
  </w:style>
  <w:style w:type="character" w:customStyle="1" w:styleId="FootnoteTextChar">
    <w:name w:val="Footnote Text Char"/>
    <w:basedOn w:val="DefaultParagraphFont"/>
    <w:link w:val="FootnoteText"/>
    <w:uiPriority w:val="99"/>
    <w:rsid w:val="0045504C"/>
    <w:rPr>
      <w:sz w:val="20"/>
      <w:szCs w:val="20"/>
    </w:rPr>
  </w:style>
  <w:style w:type="character" w:styleId="FootnoteReference">
    <w:name w:val="footnote reference"/>
    <w:basedOn w:val="DefaultParagraphFont"/>
    <w:uiPriority w:val="99"/>
    <w:semiHidden/>
    <w:unhideWhenUsed/>
    <w:rsid w:val="0045504C"/>
    <w:rPr>
      <w:vertAlign w:val="superscript"/>
    </w:rPr>
  </w:style>
  <w:style w:type="paragraph" w:styleId="BalloonText">
    <w:name w:val="Balloon Text"/>
    <w:basedOn w:val="Normal"/>
    <w:link w:val="BalloonTextChar"/>
    <w:uiPriority w:val="99"/>
    <w:semiHidden/>
    <w:unhideWhenUsed/>
    <w:rsid w:val="00455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4C"/>
    <w:rPr>
      <w:rFonts w:ascii="Tahoma" w:hAnsi="Tahoma" w:cs="Tahoma"/>
      <w:sz w:val="16"/>
      <w:szCs w:val="16"/>
    </w:rPr>
  </w:style>
  <w:style w:type="paragraph" w:customStyle="1" w:styleId="Default">
    <w:name w:val="Default"/>
    <w:rsid w:val="00E5307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641E9"/>
    <w:rPr>
      <w:sz w:val="16"/>
      <w:szCs w:val="16"/>
    </w:rPr>
  </w:style>
  <w:style w:type="paragraph" w:styleId="CommentText">
    <w:name w:val="annotation text"/>
    <w:basedOn w:val="Normal"/>
    <w:link w:val="CommentTextChar"/>
    <w:uiPriority w:val="99"/>
    <w:semiHidden/>
    <w:unhideWhenUsed/>
    <w:rsid w:val="00B641E9"/>
    <w:pPr>
      <w:spacing w:line="240" w:lineRule="auto"/>
    </w:pPr>
    <w:rPr>
      <w:sz w:val="20"/>
      <w:szCs w:val="20"/>
    </w:rPr>
  </w:style>
  <w:style w:type="character" w:customStyle="1" w:styleId="CommentTextChar">
    <w:name w:val="Comment Text Char"/>
    <w:basedOn w:val="DefaultParagraphFont"/>
    <w:link w:val="CommentText"/>
    <w:uiPriority w:val="99"/>
    <w:semiHidden/>
    <w:rsid w:val="00B641E9"/>
    <w:rPr>
      <w:sz w:val="20"/>
      <w:szCs w:val="20"/>
    </w:rPr>
  </w:style>
  <w:style w:type="paragraph" w:styleId="CommentSubject">
    <w:name w:val="annotation subject"/>
    <w:basedOn w:val="CommentText"/>
    <w:next w:val="CommentText"/>
    <w:link w:val="CommentSubjectChar"/>
    <w:uiPriority w:val="99"/>
    <w:semiHidden/>
    <w:unhideWhenUsed/>
    <w:rsid w:val="00B641E9"/>
    <w:rPr>
      <w:b/>
      <w:bCs/>
    </w:rPr>
  </w:style>
  <w:style w:type="character" w:customStyle="1" w:styleId="CommentSubjectChar">
    <w:name w:val="Comment Subject Char"/>
    <w:basedOn w:val="CommentTextChar"/>
    <w:link w:val="CommentSubject"/>
    <w:uiPriority w:val="99"/>
    <w:semiHidden/>
    <w:rsid w:val="00B641E9"/>
    <w:rPr>
      <w:b/>
      <w:bCs/>
      <w:sz w:val="20"/>
      <w:szCs w:val="20"/>
    </w:rPr>
  </w:style>
  <w:style w:type="paragraph" w:customStyle="1" w:styleId="paragraph">
    <w:name w:val="paragraph"/>
    <w:basedOn w:val="Normal"/>
    <w:rsid w:val="00571CF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section">
    <w:name w:val="subsection"/>
    <w:basedOn w:val="Normal"/>
    <w:rsid w:val="00571CF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apple-converted-space">
    <w:name w:val="apple-converted-space"/>
    <w:basedOn w:val="DefaultParagraphFont"/>
    <w:rsid w:val="00571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4C"/>
    <w:rPr>
      <w:sz w:val="24"/>
      <w:szCs w:val="24"/>
    </w:rPr>
  </w:style>
  <w:style w:type="paragraph" w:styleId="Heading1">
    <w:name w:val="heading 1"/>
    <w:basedOn w:val="Normal"/>
    <w:next w:val="Normal"/>
    <w:link w:val="Heading1Char"/>
    <w:uiPriority w:val="9"/>
    <w:qFormat/>
    <w:rsid w:val="0045504C"/>
    <w:pPr>
      <w:pBdr>
        <w:bottom w:val="single" w:sz="18" w:space="1" w:color="081594"/>
      </w:pBdr>
      <w:outlineLvl w:val="0"/>
    </w:pPr>
    <w:rPr>
      <w:b/>
      <w:noProof/>
      <w:color w:val="081594"/>
      <w:sz w:val="52"/>
      <w:szCs w:val="52"/>
      <w:lang w:eastAsia="en-AU"/>
    </w:rPr>
  </w:style>
  <w:style w:type="paragraph" w:styleId="Heading2">
    <w:name w:val="heading 2"/>
    <w:basedOn w:val="Normal"/>
    <w:next w:val="Normal"/>
    <w:link w:val="Heading2Char"/>
    <w:uiPriority w:val="9"/>
    <w:unhideWhenUsed/>
    <w:qFormat/>
    <w:rsid w:val="0045504C"/>
    <w:pPr>
      <w:outlineLvl w:val="1"/>
    </w:pPr>
    <w:rPr>
      <w:b/>
      <w:caps/>
      <w:color w:val="081594"/>
      <w:sz w:val="40"/>
      <w:szCs w:val="40"/>
    </w:rPr>
  </w:style>
  <w:style w:type="paragraph" w:styleId="Heading3">
    <w:name w:val="heading 3"/>
    <w:basedOn w:val="Normal"/>
    <w:next w:val="Normal"/>
    <w:link w:val="Heading3Char"/>
    <w:uiPriority w:val="9"/>
    <w:unhideWhenUsed/>
    <w:qFormat/>
    <w:rsid w:val="0045504C"/>
    <w:pPr>
      <w:outlineLvl w:val="2"/>
    </w:pPr>
    <w:rPr>
      <w:b/>
      <w:color w:val="081594"/>
      <w:sz w:val="36"/>
      <w:szCs w:val="28"/>
    </w:rPr>
  </w:style>
  <w:style w:type="paragraph" w:styleId="Heading4">
    <w:name w:val="heading 4"/>
    <w:basedOn w:val="Normal"/>
    <w:next w:val="Normal"/>
    <w:link w:val="Heading4Char"/>
    <w:uiPriority w:val="9"/>
    <w:unhideWhenUsed/>
    <w:qFormat/>
    <w:rsid w:val="0069378B"/>
    <w:pPr>
      <w:keepNext/>
      <w:keepLines/>
      <w:spacing w:before="200" w:after="0"/>
      <w:outlineLvl w:val="3"/>
    </w:pPr>
    <w:rPr>
      <w:rFonts w:asciiTheme="majorHAnsi" w:eastAsiaTheme="majorEastAsia" w:hAnsiTheme="majorHAnsi" w:cstheme="majorBidi"/>
      <w:b/>
      <w:bCs/>
      <w:iCs/>
      <w:color w:val="08159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4C"/>
    <w:rPr>
      <w:b/>
      <w:noProof/>
      <w:color w:val="081594"/>
      <w:sz w:val="52"/>
      <w:szCs w:val="52"/>
      <w:lang w:eastAsia="en-AU"/>
    </w:rPr>
  </w:style>
  <w:style w:type="character" w:customStyle="1" w:styleId="Heading2Char">
    <w:name w:val="Heading 2 Char"/>
    <w:basedOn w:val="DefaultParagraphFont"/>
    <w:link w:val="Heading2"/>
    <w:uiPriority w:val="9"/>
    <w:rsid w:val="0045504C"/>
    <w:rPr>
      <w:b/>
      <w:caps/>
      <w:color w:val="081594"/>
      <w:sz w:val="40"/>
      <w:szCs w:val="40"/>
    </w:rPr>
  </w:style>
  <w:style w:type="character" w:customStyle="1" w:styleId="Heading3Char">
    <w:name w:val="Heading 3 Char"/>
    <w:basedOn w:val="DefaultParagraphFont"/>
    <w:link w:val="Heading3"/>
    <w:uiPriority w:val="9"/>
    <w:rsid w:val="0045504C"/>
    <w:rPr>
      <w:b/>
      <w:color w:val="081594"/>
      <w:sz w:val="36"/>
      <w:szCs w:val="28"/>
    </w:rPr>
  </w:style>
  <w:style w:type="character" w:customStyle="1" w:styleId="Heading4Char">
    <w:name w:val="Heading 4 Char"/>
    <w:basedOn w:val="DefaultParagraphFont"/>
    <w:link w:val="Heading4"/>
    <w:uiPriority w:val="9"/>
    <w:rsid w:val="0069378B"/>
    <w:rPr>
      <w:rFonts w:asciiTheme="majorHAnsi" w:eastAsiaTheme="majorEastAsia" w:hAnsiTheme="majorHAnsi" w:cstheme="majorBidi"/>
      <w:b/>
      <w:bCs/>
      <w:iCs/>
      <w:color w:val="081594"/>
      <w:sz w:val="28"/>
      <w:szCs w:val="24"/>
    </w:rPr>
  </w:style>
  <w:style w:type="paragraph" w:styleId="ListParagraph">
    <w:name w:val="List Paragraph"/>
    <w:basedOn w:val="Normal"/>
    <w:uiPriority w:val="34"/>
    <w:qFormat/>
    <w:rsid w:val="0045504C"/>
    <w:pPr>
      <w:ind w:left="720"/>
      <w:contextualSpacing/>
    </w:pPr>
  </w:style>
  <w:style w:type="character" w:styleId="Hyperlink">
    <w:name w:val="Hyperlink"/>
    <w:basedOn w:val="DefaultParagraphFont"/>
    <w:uiPriority w:val="99"/>
    <w:unhideWhenUsed/>
    <w:rsid w:val="0045504C"/>
    <w:rPr>
      <w:color w:val="0000FF"/>
      <w:u w:val="single"/>
    </w:rPr>
  </w:style>
  <w:style w:type="paragraph" w:styleId="Header">
    <w:name w:val="header"/>
    <w:basedOn w:val="Normal"/>
    <w:link w:val="HeaderChar"/>
    <w:uiPriority w:val="99"/>
    <w:unhideWhenUsed/>
    <w:rsid w:val="0045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4C"/>
    <w:rPr>
      <w:sz w:val="24"/>
      <w:szCs w:val="24"/>
    </w:rPr>
  </w:style>
  <w:style w:type="paragraph" w:styleId="Footer">
    <w:name w:val="footer"/>
    <w:basedOn w:val="Normal"/>
    <w:link w:val="FooterChar"/>
    <w:uiPriority w:val="99"/>
    <w:unhideWhenUsed/>
    <w:rsid w:val="0045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4C"/>
    <w:rPr>
      <w:sz w:val="24"/>
      <w:szCs w:val="24"/>
    </w:rPr>
  </w:style>
  <w:style w:type="paragraph" w:styleId="TOCHeading">
    <w:name w:val="TOC Heading"/>
    <w:basedOn w:val="Heading1"/>
    <w:next w:val="Normal"/>
    <w:uiPriority w:val="39"/>
    <w:unhideWhenUsed/>
    <w:qFormat/>
    <w:rsid w:val="0045504C"/>
    <w:pPr>
      <w:keepNext/>
      <w:keepLines/>
      <w:pBdr>
        <w:bottom w:val="none" w:sz="0" w:space="0" w:color="auto"/>
      </w:pBdr>
      <w:spacing w:before="480" w:after="0"/>
      <w:outlineLvl w:val="9"/>
    </w:pPr>
    <w:rPr>
      <w:rFonts w:asciiTheme="majorHAnsi" w:eastAsiaTheme="majorEastAsia" w:hAnsiTheme="majorHAnsi" w:cstheme="majorBidi"/>
      <w:bCs/>
      <w:noProof w:val="0"/>
      <w:color w:val="365F91" w:themeColor="accent1" w:themeShade="BF"/>
      <w:sz w:val="28"/>
      <w:szCs w:val="28"/>
      <w:lang w:val="en-US" w:eastAsia="ja-JP"/>
    </w:rPr>
  </w:style>
  <w:style w:type="paragraph" w:styleId="TOC2">
    <w:name w:val="toc 2"/>
    <w:basedOn w:val="Normal"/>
    <w:next w:val="Normal"/>
    <w:autoRedefine/>
    <w:uiPriority w:val="39"/>
    <w:unhideWhenUsed/>
    <w:rsid w:val="0045504C"/>
    <w:pPr>
      <w:tabs>
        <w:tab w:val="right" w:leader="dot" w:pos="9016"/>
      </w:tabs>
      <w:spacing w:after="100"/>
    </w:pPr>
    <w:rPr>
      <w:noProof/>
      <w:color w:val="1F497D" w:themeColor="text2"/>
    </w:rPr>
  </w:style>
  <w:style w:type="paragraph" w:styleId="TOC3">
    <w:name w:val="toc 3"/>
    <w:basedOn w:val="Normal"/>
    <w:next w:val="Normal"/>
    <w:autoRedefine/>
    <w:uiPriority w:val="39"/>
    <w:unhideWhenUsed/>
    <w:rsid w:val="0045504C"/>
    <w:pPr>
      <w:tabs>
        <w:tab w:val="right" w:leader="dot" w:pos="9016"/>
      </w:tabs>
      <w:spacing w:after="100"/>
    </w:pPr>
    <w:rPr>
      <w:noProof/>
      <w:color w:val="002060"/>
    </w:rPr>
  </w:style>
  <w:style w:type="paragraph" w:styleId="FootnoteText">
    <w:name w:val="footnote text"/>
    <w:basedOn w:val="Normal"/>
    <w:link w:val="FootnoteTextChar"/>
    <w:uiPriority w:val="99"/>
    <w:unhideWhenUsed/>
    <w:rsid w:val="0045504C"/>
    <w:pPr>
      <w:spacing w:after="0" w:line="240" w:lineRule="auto"/>
    </w:pPr>
    <w:rPr>
      <w:sz w:val="20"/>
      <w:szCs w:val="20"/>
    </w:rPr>
  </w:style>
  <w:style w:type="character" w:customStyle="1" w:styleId="FootnoteTextChar">
    <w:name w:val="Footnote Text Char"/>
    <w:basedOn w:val="DefaultParagraphFont"/>
    <w:link w:val="FootnoteText"/>
    <w:uiPriority w:val="99"/>
    <w:rsid w:val="0045504C"/>
    <w:rPr>
      <w:sz w:val="20"/>
      <w:szCs w:val="20"/>
    </w:rPr>
  </w:style>
  <w:style w:type="character" w:styleId="FootnoteReference">
    <w:name w:val="footnote reference"/>
    <w:basedOn w:val="DefaultParagraphFont"/>
    <w:uiPriority w:val="99"/>
    <w:semiHidden/>
    <w:unhideWhenUsed/>
    <w:rsid w:val="0045504C"/>
    <w:rPr>
      <w:vertAlign w:val="superscript"/>
    </w:rPr>
  </w:style>
  <w:style w:type="paragraph" w:styleId="BalloonText">
    <w:name w:val="Balloon Text"/>
    <w:basedOn w:val="Normal"/>
    <w:link w:val="BalloonTextChar"/>
    <w:uiPriority w:val="99"/>
    <w:semiHidden/>
    <w:unhideWhenUsed/>
    <w:rsid w:val="00455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4C"/>
    <w:rPr>
      <w:rFonts w:ascii="Tahoma" w:hAnsi="Tahoma" w:cs="Tahoma"/>
      <w:sz w:val="16"/>
      <w:szCs w:val="16"/>
    </w:rPr>
  </w:style>
  <w:style w:type="paragraph" w:customStyle="1" w:styleId="Default">
    <w:name w:val="Default"/>
    <w:rsid w:val="00E5307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641E9"/>
    <w:rPr>
      <w:sz w:val="16"/>
      <w:szCs w:val="16"/>
    </w:rPr>
  </w:style>
  <w:style w:type="paragraph" w:styleId="CommentText">
    <w:name w:val="annotation text"/>
    <w:basedOn w:val="Normal"/>
    <w:link w:val="CommentTextChar"/>
    <w:uiPriority w:val="99"/>
    <w:semiHidden/>
    <w:unhideWhenUsed/>
    <w:rsid w:val="00B641E9"/>
    <w:pPr>
      <w:spacing w:line="240" w:lineRule="auto"/>
    </w:pPr>
    <w:rPr>
      <w:sz w:val="20"/>
      <w:szCs w:val="20"/>
    </w:rPr>
  </w:style>
  <w:style w:type="character" w:customStyle="1" w:styleId="CommentTextChar">
    <w:name w:val="Comment Text Char"/>
    <w:basedOn w:val="DefaultParagraphFont"/>
    <w:link w:val="CommentText"/>
    <w:uiPriority w:val="99"/>
    <w:semiHidden/>
    <w:rsid w:val="00B641E9"/>
    <w:rPr>
      <w:sz w:val="20"/>
      <w:szCs w:val="20"/>
    </w:rPr>
  </w:style>
  <w:style w:type="paragraph" w:styleId="CommentSubject">
    <w:name w:val="annotation subject"/>
    <w:basedOn w:val="CommentText"/>
    <w:next w:val="CommentText"/>
    <w:link w:val="CommentSubjectChar"/>
    <w:uiPriority w:val="99"/>
    <w:semiHidden/>
    <w:unhideWhenUsed/>
    <w:rsid w:val="00B641E9"/>
    <w:rPr>
      <w:b/>
      <w:bCs/>
    </w:rPr>
  </w:style>
  <w:style w:type="character" w:customStyle="1" w:styleId="CommentSubjectChar">
    <w:name w:val="Comment Subject Char"/>
    <w:basedOn w:val="CommentTextChar"/>
    <w:link w:val="CommentSubject"/>
    <w:uiPriority w:val="99"/>
    <w:semiHidden/>
    <w:rsid w:val="00B641E9"/>
    <w:rPr>
      <w:b/>
      <w:bCs/>
      <w:sz w:val="20"/>
      <w:szCs w:val="20"/>
    </w:rPr>
  </w:style>
  <w:style w:type="paragraph" w:customStyle="1" w:styleId="paragraph">
    <w:name w:val="paragraph"/>
    <w:basedOn w:val="Normal"/>
    <w:rsid w:val="00571CF8"/>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section">
    <w:name w:val="subsection"/>
    <w:basedOn w:val="Normal"/>
    <w:rsid w:val="00571CF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apple-converted-space">
    <w:name w:val="apple-converted-space"/>
    <w:basedOn w:val="DefaultParagraphFont"/>
    <w:rsid w:val="0057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64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qd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69023-C023-486F-A56D-2E1A0CCF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Swift</dc:creator>
  <cp:lastModifiedBy>Michelle Moss</cp:lastModifiedBy>
  <cp:revision>3</cp:revision>
  <cp:lastPrinted>2015-10-15T08:56:00Z</cp:lastPrinted>
  <dcterms:created xsi:type="dcterms:W3CDTF">2015-10-15T08:52:00Z</dcterms:created>
  <dcterms:modified xsi:type="dcterms:W3CDTF">2015-10-15T08:56:00Z</dcterms:modified>
</cp:coreProperties>
</file>