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49C" w:rsidRDefault="00B92074" w:rsidP="00E64E00">
      <w:pPr>
        <w:pStyle w:val="Heading1"/>
      </w:pPr>
      <w:bookmarkStart w:id="0" w:name="_Toc418002714"/>
      <w:bookmarkStart w:id="1" w:name="_Toc418002770"/>
      <w:bookmarkStart w:id="2" w:name="_Toc418057654"/>
      <w:r>
        <w:t xml:space="preserve"> </w:t>
      </w:r>
    </w:p>
    <w:p w:rsidR="0099449C" w:rsidRDefault="0099449C" w:rsidP="00E64E00">
      <w:pPr>
        <w:pStyle w:val="Heading1"/>
      </w:pPr>
    </w:p>
    <w:p w:rsidR="007A4E44" w:rsidRPr="00AA0BB0" w:rsidRDefault="009C63B0" w:rsidP="007A4E44">
      <w:pPr>
        <w:pStyle w:val="Title"/>
        <w:pBdr>
          <w:bottom w:val="none" w:sz="0" w:space="0" w:color="auto"/>
        </w:pBdr>
        <w:rPr>
          <w:rFonts w:asciiTheme="minorHAnsi" w:eastAsiaTheme="minorHAnsi" w:hAnsiTheme="minorHAnsi" w:cstheme="minorBidi"/>
          <w:b/>
          <w:color w:val="081594"/>
          <w:spacing w:val="0"/>
          <w:kern w:val="0"/>
          <w:sz w:val="36"/>
          <w:szCs w:val="28"/>
        </w:rPr>
      </w:pPr>
      <w:bookmarkStart w:id="3" w:name="_Toc420566282"/>
      <w:r w:rsidRPr="00AA0BB0">
        <w:rPr>
          <w:rFonts w:asciiTheme="minorHAnsi" w:eastAsiaTheme="minorHAnsi" w:hAnsiTheme="minorHAnsi" w:cstheme="minorBidi"/>
          <w:b/>
          <w:color w:val="081594"/>
          <w:spacing w:val="0"/>
          <w:kern w:val="0"/>
          <w:sz w:val="36"/>
          <w:szCs w:val="28"/>
        </w:rPr>
        <w:t xml:space="preserve">Response to the </w:t>
      </w:r>
      <w:bookmarkEnd w:id="0"/>
      <w:bookmarkEnd w:id="1"/>
      <w:bookmarkEnd w:id="2"/>
      <w:bookmarkEnd w:id="3"/>
      <w:r w:rsidR="007A4E44">
        <w:rPr>
          <w:rFonts w:asciiTheme="minorHAnsi" w:eastAsiaTheme="minorHAnsi" w:hAnsiTheme="minorHAnsi" w:cstheme="minorBidi"/>
          <w:b/>
          <w:color w:val="081594"/>
          <w:spacing w:val="0"/>
          <w:kern w:val="0"/>
          <w:sz w:val="36"/>
          <w:szCs w:val="28"/>
        </w:rPr>
        <w:t xml:space="preserve">Joint Standing Committee on the National Disability Insurance Scheme examination of Accommodation for people with disabilities and the NDIS </w:t>
      </w:r>
    </w:p>
    <w:p w:rsidR="004C1741" w:rsidRPr="00AA0BB0" w:rsidRDefault="004C1741" w:rsidP="00AA0BB0">
      <w:pPr>
        <w:pStyle w:val="Title"/>
        <w:pBdr>
          <w:bottom w:val="none" w:sz="0" w:space="0" w:color="auto"/>
        </w:pBdr>
        <w:rPr>
          <w:rFonts w:asciiTheme="minorHAnsi" w:eastAsiaTheme="minorHAnsi" w:hAnsiTheme="minorHAnsi" w:cstheme="minorBidi"/>
          <w:b/>
          <w:color w:val="081594"/>
          <w:spacing w:val="0"/>
          <w:kern w:val="0"/>
          <w:sz w:val="36"/>
          <w:szCs w:val="28"/>
        </w:rPr>
      </w:pPr>
    </w:p>
    <w:p w:rsidR="00F9055E" w:rsidRDefault="00F9055E" w:rsidP="00E64E00">
      <w:pPr>
        <w:rPr>
          <w:lang w:eastAsia="en-AU"/>
        </w:rPr>
      </w:pPr>
      <w:bookmarkStart w:id="4" w:name="_GoBack"/>
      <w:bookmarkEnd w:id="4"/>
    </w:p>
    <w:p w:rsidR="00F9055E" w:rsidRPr="00F9055E" w:rsidRDefault="00F9055E" w:rsidP="00E64E00">
      <w:pPr>
        <w:rPr>
          <w:lang w:eastAsia="en-AU"/>
        </w:rPr>
      </w:pPr>
    </w:p>
    <w:p w:rsidR="00F9055E" w:rsidRDefault="00F9055E" w:rsidP="00E64E00"/>
    <w:p w:rsidR="00F9055E" w:rsidRDefault="00F9055E" w:rsidP="00E64E00"/>
    <w:p w:rsidR="00F9055E" w:rsidRDefault="00F9055E" w:rsidP="00E64E00"/>
    <w:p w:rsidR="00F9055E" w:rsidRPr="00F9055E" w:rsidRDefault="00F9055E" w:rsidP="00E64E00"/>
    <w:p w:rsidR="00F9055E" w:rsidRDefault="00B7282E" w:rsidP="00E64E00">
      <w:r>
        <w:rPr>
          <w:noProof/>
          <w:lang w:eastAsia="en-AU"/>
        </w:rPr>
        <w:drawing>
          <wp:inline distT="0" distB="0" distL="0" distR="0" wp14:anchorId="78926CA6" wp14:editId="245F2520">
            <wp:extent cx="5731510" cy="279781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LD-W TAGLINE Logo FIN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2797810"/>
                    </a:xfrm>
                    <a:prstGeom prst="rect">
                      <a:avLst/>
                    </a:prstGeom>
                  </pic:spPr>
                </pic:pic>
              </a:graphicData>
            </a:graphic>
          </wp:inline>
        </w:drawing>
      </w:r>
    </w:p>
    <w:p w:rsidR="00F9055E" w:rsidRDefault="00F9055E" w:rsidP="00E64E00"/>
    <w:p w:rsidR="002E28CA" w:rsidRDefault="002E28CA" w:rsidP="00E64E00"/>
    <w:p w:rsidR="009C63B0" w:rsidRDefault="009C63B0" w:rsidP="00E64E00"/>
    <w:p w:rsidR="005D2054" w:rsidRDefault="005D2054">
      <w:pPr>
        <w:spacing w:after="200"/>
      </w:pPr>
      <w:r>
        <w:br w:type="page"/>
      </w:r>
    </w:p>
    <w:p w:rsidR="00F9055E" w:rsidRDefault="00F9055E" w:rsidP="00E64E00"/>
    <w:sdt>
      <w:sdtPr>
        <w:rPr>
          <w:rFonts w:asciiTheme="minorHAnsi" w:eastAsiaTheme="minorHAnsi" w:hAnsiTheme="minorHAnsi" w:cstheme="minorBidi"/>
          <w:b w:val="0"/>
          <w:bCs w:val="0"/>
          <w:color w:val="auto"/>
          <w:sz w:val="24"/>
          <w:szCs w:val="24"/>
          <w:lang w:val="en-AU" w:eastAsia="en-US"/>
        </w:rPr>
        <w:id w:val="1442571995"/>
        <w:docPartObj>
          <w:docPartGallery w:val="Table of Contents"/>
          <w:docPartUnique/>
        </w:docPartObj>
      </w:sdtPr>
      <w:sdtEndPr>
        <w:rPr>
          <w:noProof/>
        </w:rPr>
      </w:sdtEndPr>
      <w:sdtContent>
        <w:p w:rsidR="00FB0CEC" w:rsidRDefault="00FB0CEC" w:rsidP="00E41050">
          <w:pPr>
            <w:pStyle w:val="TOCHeading"/>
            <w:tabs>
              <w:tab w:val="left" w:pos="1883"/>
            </w:tabs>
            <w:spacing w:after="240"/>
            <w:rPr>
              <w:rFonts w:eastAsiaTheme="minorHAnsi"/>
            </w:rPr>
          </w:pPr>
          <w:r w:rsidRPr="0093070D">
            <w:rPr>
              <w:rFonts w:asciiTheme="minorHAnsi" w:eastAsiaTheme="minorHAnsi" w:hAnsiTheme="minorHAnsi" w:cstheme="minorBidi"/>
              <w:bCs w:val="0"/>
              <w:color w:val="081594"/>
              <w:sz w:val="36"/>
              <w:lang w:val="en-AU" w:eastAsia="en-US"/>
            </w:rPr>
            <w:t>Contents</w:t>
          </w:r>
          <w:r w:rsidR="0007119C">
            <w:rPr>
              <w:rFonts w:eastAsiaTheme="minorHAnsi"/>
            </w:rPr>
            <w:tab/>
          </w:r>
        </w:p>
        <w:p w:rsidR="003B2B51" w:rsidRDefault="00E41050">
          <w:pPr>
            <w:pStyle w:val="TOC1"/>
            <w:rPr>
              <w:rFonts w:eastAsiaTheme="minorEastAsia"/>
              <w:noProof/>
              <w:color w:val="auto"/>
              <w:sz w:val="22"/>
              <w:szCs w:val="22"/>
              <w:lang w:eastAsia="en-AU"/>
            </w:rPr>
          </w:pPr>
          <w:r>
            <w:fldChar w:fldCharType="begin"/>
          </w:r>
          <w:r>
            <w:instrText xml:space="preserve"> TOC \h \z \u \t "Heading 3,1,Heading 4,2" </w:instrText>
          </w:r>
          <w:r>
            <w:fldChar w:fldCharType="separate"/>
          </w:r>
          <w:hyperlink w:anchor="_Toc445910171" w:history="1">
            <w:r w:rsidR="003B2B51" w:rsidRPr="00114F7E">
              <w:rPr>
                <w:rStyle w:val="Hyperlink"/>
                <w:noProof/>
              </w:rPr>
              <w:t>About Queenslanders with Disability Network (QDN)</w:t>
            </w:r>
            <w:r w:rsidR="003B2B51">
              <w:rPr>
                <w:noProof/>
                <w:webHidden/>
              </w:rPr>
              <w:tab/>
            </w:r>
            <w:r w:rsidR="003B2B51">
              <w:rPr>
                <w:noProof/>
                <w:webHidden/>
              </w:rPr>
              <w:fldChar w:fldCharType="begin"/>
            </w:r>
            <w:r w:rsidR="003B2B51">
              <w:rPr>
                <w:noProof/>
                <w:webHidden/>
              </w:rPr>
              <w:instrText xml:space="preserve"> PAGEREF _Toc445910171 \h </w:instrText>
            </w:r>
            <w:r w:rsidR="003B2B51">
              <w:rPr>
                <w:noProof/>
                <w:webHidden/>
              </w:rPr>
            </w:r>
            <w:r w:rsidR="003B2B51">
              <w:rPr>
                <w:noProof/>
                <w:webHidden/>
              </w:rPr>
              <w:fldChar w:fldCharType="separate"/>
            </w:r>
            <w:r w:rsidR="00854C2A">
              <w:rPr>
                <w:noProof/>
                <w:webHidden/>
              </w:rPr>
              <w:t>3</w:t>
            </w:r>
            <w:r w:rsidR="003B2B51">
              <w:rPr>
                <w:noProof/>
                <w:webHidden/>
              </w:rPr>
              <w:fldChar w:fldCharType="end"/>
            </w:r>
          </w:hyperlink>
        </w:p>
        <w:p w:rsidR="003B2B51" w:rsidRDefault="00854C2A">
          <w:pPr>
            <w:pStyle w:val="TOC1"/>
            <w:rPr>
              <w:rFonts w:eastAsiaTheme="minorEastAsia"/>
              <w:noProof/>
              <w:color w:val="auto"/>
              <w:sz w:val="22"/>
              <w:szCs w:val="22"/>
              <w:lang w:eastAsia="en-AU"/>
            </w:rPr>
          </w:pPr>
          <w:hyperlink w:anchor="_Toc445910172" w:history="1">
            <w:r w:rsidR="003B2B51" w:rsidRPr="00114F7E">
              <w:rPr>
                <w:rStyle w:val="Hyperlink"/>
                <w:noProof/>
              </w:rPr>
              <w:t>Value Statement on People with Disability</w:t>
            </w:r>
            <w:r w:rsidR="003B2B51">
              <w:rPr>
                <w:noProof/>
                <w:webHidden/>
              </w:rPr>
              <w:tab/>
            </w:r>
            <w:r w:rsidR="003B2B51">
              <w:rPr>
                <w:noProof/>
                <w:webHidden/>
              </w:rPr>
              <w:fldChar w:fldCharType="begin"/>
            </w:r>
            <w:r w:rsidR="003B2B51">
              <w:rPr>
                <w:noProof/>
                <w:webHidden/>
              </w:rPr>
              <w:instrText xml:space="preserve"> PAGEREF _Toc445910172 \h </w:instrText>
            </w:r>
            <w:r w:rsidR="003B2B51">
              <w:rPr>
                <w:noProof/>
                <w:webHidden/>
              </w:rPr>
            </w:r>
            <w:r w:rsidR="003B2B51">
              <w:rPr>
                <w:noProof/>
                <w:webHidden/>
              </w:rPr>
              <w:fldChar w:fldCharType="separate"/>
            </w:r>
            <w:r>
              <w:rPr>
                <w:noProof/>
                <w:webHidden/>
              </w:rPr>
              <w:t>3</w:t>
            </w:r>
            <w:r w:rsidR="003B2B51">
              <w:rPr>
                <w:noProof/>
                <w:webHidden/>
              </w:rPr>
              <w:fldChar w:fldCharType="end"/>
            </w:r>
          </w:hyperlink>
        </w:p>
        <w:p w:rsidR="003B2B51" w:rsidRDefault="00854C2A">
          <w:pPr>
            <w:pStyle w:val="TOC1"/>
            <w:rPr>
              <w:rFonts w:eastAsiaTheme="minorEastAsia"/>
              <w:noProof/>
              <w:color w:val="auto"/>
              <w:sz w:val="22"/>
              <w:szCs w:val="22"/>
              <w:lang w:eastAsia="en-AU"/>
            </w:rPr>
          </w:pPr>
          <w:hyperlink w:anchor="_Toc445910173" w:history="1">
            <w:r w:rsidR="003B2B51" w:rsidRPr="00114F7E">
              <w:rPr>
                <w:rStyle w:val="Hyperlink"/>
                <w:noProof/>
              </w:rPr>
              <w:t>Policy Overview</w:t>
            </w:r>
            <w:r w:rsidR="003B2B51">
              <w:rPr>
                <w:noProof/>
                <w:webHidden/>
              </w:rPr>
              <w:tab/>
            </w:r>
            <w:r w:rsidR="003B2B51">
              <w:rPr>
                <w:noProof/>
                <w:webHidden/>
              </w:rPr>
              <w:fldChar w:fldCharType="begin"/>
            </w:r>
            <w:r w:rsidR="003B2B51">
              <w:rPr>
                <w:noProof/>
                <w:webHidden/>
              </w:rPr>
              <w:instrText xml:space="preserve"> PAGEREF _Toc445910173 \h </w:instrText>
            </w:r>
            <w:r w:rsidR="003B2B51">
              <w:rPr>
                <w:noProof/>
                <w:webHidden/>
              </w:rPr>
            </w:r>
            <w:r w:rsidR="003B2B51">
              <w:rPr>
                <w:noProof/>
                <w:webHidden/>
              </w:rPr>
              <w:fldChar w:fldCharType="separate"/>
            </w:r>
            <w:r>
              <w:rPr>
                <w:noProof/>
                <w:webHidden/>
              </w:rPr>
              <w:t>4</w:t>
            </w:r>
            <w:r w:rsidR="003B2B51">
              <w:rPr>
                <w:noProof/>
                <w:webHidden/>
              </w:rPr>
              <w:fldChar w:fldCharType="end"/>
            </w:r>
          </w:hyperlink>
        </w:p>
        <w:p w:rsidR="003B2B51" w:rsidRDefault="00854C2A">
          <w:pPr>
            <w:pStyle w:val="TOC1"/>
            <w:rPr>
              <w:rFonts w:eastAsiaTheme="minorEastAsia"/>
              <w:noProof/>
              <w:color w:val="auto"/>
              <w:sz w:val="22"/>
              <w:szCs w:val="22"/>
              <w:lang w:eastAsia="en-AU"/>
            </w:rPr>
          </w:pPr>
          <w:hyperlink w:anchor="_Toc445910174" w:history="1">
            <w:r w:rsidR="003B2B51" w:rsidRPr="00114F7E">
              <w:rPr>
                <w:rStyle w:val="Hyperlink"/>
                <w:noProof/>
              </w:rPr>
              <w:t>Context</w:t>
            </w:r>
            <w:r w:rsidR="003B2B51">
              <w:rPr>
                <w:noProof/>
                <w:webHidden/>
              </w:rPr>
              <w:tab/>
            </w:r>
            <w:r w:rsidR="003B2B51">
              <w:rPr>
                <w:noProof/>
                <w:webHidden/>
              </w:rPr>
              <w:fldChar w:fldCharType="begin"/>
            </w:r>
            <w:r w:rsidR="003B2B51">
              <w:rPr>
                <w:noProof/>
                <w:webHidden/>
              </w:rPr>
              <w:instrText xml:space="preserve"> PAGEREF _Toc445910174 \h </w:instrText>
            </w:r>
            <w:r w:rsidR="003B2B51">
              <w:rPr>
                <w:noProof/>
                <w:webHidden/>
              </w:rPr>
            </w:r>
            <w:r w:rsidR="003B2B51">
              <w:rPr>
                <w:noProof/>
                <w:webHidden/>
              </w:rPr>
              <w:fldChar w:fldCharType="separate"/>
            </w:r>
            <w:r>
              <w:rPr>
                <w:noProof/>
                <w:webHidden/>
              </w:rPr>
              <w:t>4</w:t>
            </w:r>
            <w:r w:rsidR="003B2B51">
              <w:rPr>
                <w:noProof/>
                <w:webHidden/>
              </w:rPr>
              <w:fldChar w:fldCharType="end"/>
            </w:r>
          </w:hyperlink>
        </w:p>
        <w:p w:rsidR="003B2B51" w:rsidRDefault="00854C2A">
          <w:pPr>
            <w:pStyle w:val="TOC2"/>
            <w:rPr>
              <w:rFonts w:eastAsiaTheme="minorEastAsia"/>
              <w:color w:val="auto"/>
              <w:sz w:val="22"/>
              <w:szCs w:val="22"/>
              <w:lang w:eastAsia="en-AU"/>
            </w:rPr>
          </w:pPr>
          <w:hyperlink w:anchor="_Toc445910175" w:history="1">
            <w:r w:rsidR="003B2B51" w:rsidRPr="00114F7E">
              <w:rPr>
                <w:rStyle w:val="Hyperlink"/>
              </w:rPr>
              <w:t>QDN’s housing vision</w:t>
            </w:r>
            <w:r w:rsidR="003B2B51">
              <w:rPr>
                <w:webHidden/>
              </w:rPr>
              <w:tab/>
            </w:r>
            <w:r w:rsidR="003B2B51">
              <w:rPr>
                <w:webHidden/>
              </w:rPr>
              <w:fldChar w:fldCharType="begin"/>
            </w:r>
            <w:r w:rsidR="003B2B51">
              <w:rPr>
                <w:webHidden/>
              </w:rPr>
              <w:instrText xml:space="preserve"> PAGEREF _Toc445910175 \h </w:instrText>
            </w:r>
            <w:r w:rsidR="003B2B51">
              <w:rPr>
                <w:webHidden/>
              </w:rPr>
            </w:r>
            <w:r w:rsidR="003B2B51">
              <w:rPr>
                <w:webHidden/>
              </w:rPr>
              <w:fldChar w:fldCharType="separate"/>
            </w:r>
            <w:r>
              <w:rPr>
                <w:webHidden/>
              </w:rPr>
              <w:t>5</w:t>
            </w:r>
            <w:r w:rsidR="003B2B51">
              <w:rPr>
                <w:webHidden/>
              </w:rPr>
              <w:fldChar w:fldCharType="end"/>
            </w:r>
          </w:hyperlink>
        </w:p>
        <w:p w:rsidR="003B2B51" w:rsidRDefault="00854C2A">
          <w:pPr>
            <w:pStyle w:val="TOC2"/>
            <w:rPr>
              <w:rFonts w:eastAsiaTheme="minorEastAsia"/>
              <w:color w:val="auto"/>
              <w:sz w:val="22"/>
              <w:szCs w:val="22"/>
              <w:lang w:eastAsia="en-AU"/>
            </w:rPr>
          </w:pPr>
          <w:hyperlink w:anchor="_Toc445910176" w:history="1">
            <w:r w:rsidR="003B2B51" w:rsidRPr="00114F7E">
              <w:rPr>
                <w:rStyle w:val="Hyperlink"/>
              </w:rPr>
              <w:t>Housing Principles</w:t>
            </w:r>
            <w:r w:rsidR="003B2B51">
              <w:rPr>
                <w:webHidden/>
              </w:rPr>
              <w:tab/>
            </w:r>
            <w:r w:rsidR="003B2B51">
              <w:rPr>
                <w:webHidden/>
              </w:rPr>
              <w:fldChar w:fldCharType="begin"/>
            </w:r>
            <w:r w:rsidR="003B2B51">
              <w:rPr>
                <w:webHidden/>
              </w:rPr>
              <w:instrText xml:space="preserve"> PAGEREF _Toc445910176 \h </w:instrText>
            </w:r>
            <w:r w:rsidR="003B2B51">
              <w:rPr>
                <w:webHidden/>
              </w:rPr>
            </w:r>
            <w:r w:rsidR="003B2B51">
              <w:rPr>
                <w:webHidden/>
              </w:rPr>
              <w:fldChar w:fldCharType="separate"/>
            </w:r>
            <w:r>
              <w:rPr>
                <w:webHidden/>
              </w:rPr>
              <w:t>5</w:t>
            </w:r>
            <w:r w:rsidR="003B2B51">
              <w:rPr>
                <w:webHidden/>
              </w:rPr>
              <w:fldChar w:fldCharType="end"/>
            </w:r>
          </w:hyperlink>
        </w:p>
        <w:p w:rsidR="003B2B51" w:rsidRDefault="00854C2A">
          <w:pPr>
            <w:pStyle w:val="TOC2"/>
            <w:rPr>
              <w:rFonts w:eastAsiaTheme="minorEastAsia"/>
              <w:color w:val="auto"/>
              <w:sz w:val="22"/>
              <w:szCs w:val="22"/>
              <w:lang w:eastAsia="en-AU"/>
            </w:rPr>
          </w:pPr>
          <w:hyperlink w:anchor="_Toc445910177" w:history="1">
            <w:r w:rsidR="003B2B51" w:rsidRPr="00114F7E">
              <w:rPr>
                <w:rStyle w:val="Hyperlink"/>
              </w:rPr>
              <w:t>Applying these principles to the Joint Standing Committee’s examination of Accommodation for people with disability and the NDIS</w:t>
            </w:r>
            <w:r w:rsidR="003B2B51">
              <w:rPr>
                <w:webHidden/>
              </w:rPr>
              <w:tab/>
            </w:r>
            <w:r w:rsidR="003B2B51">
              <w:rPr>
                <w:webHidden/>
              </w:rPr>
              <w:fldChar w:fldCharType="begin"/>
            </w:r>
            <w:r w:rsidR="003B2B51">
              <w:rPr>
                <w:webHidden/>
              </w:rPr>
              <w:instrText xml:space="preserve"> PAGEREF _Toc445910177 \h </w:instrText>
            </w:r>
            <w:r w:rsidR="003B2B51">
              <w:rPr>
                <w:webHidden/>
              </w:rPr>
            </w:r>
            <w:r w:rsidR="003B2B51">
              <w:rPr>
                <w:webHidden/>
              </w:rPr>
              <w:fldChar w:fldCharType="separate"/>
            </w:r>
            <w:r>
              <w:rPr>
                <w:webHidden/>
              </w:rPr>
              <w:t>5</w:t>
            </w:r>
            <w:r w:rsidR="003B2B51">
              <w:rPr>
                <w:webHidden/>
              </w:rPr>
              <w:fldChar w:fldCharType="end"/>
            </w:r>
          </w:hyperlink>
        </w:p>
        <w:p w:rsidR="003B2B51" w:rsidRDefault="00854C2A">
          <w:pPr>
            <w:pStyle w:val="TOC1"/>
            <w:rPr>
              <w:rFonts w:eastAsiaTheme="minorEastAsia"/>
              <w:noProof/>
              <w:color w:val="auto"/>
              <w:sz w:val="22"/>
              <w:szCs w:val="22"/>
              <w:lang w:eastAsia="en-AU"/>
            </w:rPr>
          </w:pPr>
          <w:hyperlink w:anchor="_Toc445910178" w:history="1">
            <w:r w:rsidR="003B2B51" w:rsidRPr="00114F7E">
              <w:rPr>
                <w:rStyle w:val="Hyperlink"/>
                <w:noProof/>
              </w:rPr>
              <w:t>Possible Solutions</w:t>
            </w:r>
            <w:r w:rsidR="003B2B51">
              <w:rPr>
                <w:noProof/>
                <w:webHidden/>
              </w:rPr>
              <w:tab/>
            </w:r>
            <w:r w:rsidR="003B2B51">
              <w:rPr>
                <w:noProof/>
                <w:webHidden/>
              </w:rPr>
              <w:fldChar w:fldCharType="begin"/>
            </w:r>
            <w:r w:rsidR="003B2B51">
              <w:rPr>
                <w:noProof/>
                <w:webHidden/>
              </w:rPr>
              <w:instrText xml:space="preserve"> PAGEREF _Toc445910178 \h </w:instrText>
            </w:r>
            <w:r w:rsidR="003B2B51">
              <w:rPr>
                <w:noProof/>
                <w:webHidden/>
              </w:rPr>
            </w:r>
            <w:r w:rsidR="003B2B51">
              <w:rPr>
                <w:noProof/>
                <w:webHidden/>
              </w:rPr>
              <w:fldChar w:fldCharType="separate"/>
            </w:r>
            <w:r>
              <w:rPr>
                <w:noProof/>
                <w:webHidden/>
              </w:rPr>
              <w:t>6</w:t>
            </w:r>
            <w:r w:rsidR="003B2B51">
              <w:rPr>
                <w:noProof/>
                <w:webHidden/>
              </w:rPr>
              <w:fldChar w:fldCharType="end"/>
            </w:r>
          </w:hyperlink>
        </w:p>
        <w:p w:rsidR="003B2B51" w:rsidRDefault="00854C2A">
          <w:pPr>
            <w:pStyle w:val="TOC2"/>
            <w:rPr>
              <w:rFonts w:eastAsiaTheme="minorEastAsia"/>
              <w:color w:val="auto"/>
              <w:sz w:val="22"/>
              <w:szCs w:val="22"/>
              <w:lang w:eastAsia="en-AU"/>
            </w:rPr>
          </w:pPr>
          <w:hyperlink w:anchor="_Toc445910179" w:history="1">
            <w:r w:rsidR="003B2B51" w:rsidRPr="00114F7E">
              <w:rPr>
                <w:rStyle w:val="Hyperlink"/>
              </w:rPr>
              <w:t>Innovative accommodation models</w:t>
            </w:r>
            <w:r w:rsidR="003B2B51">
              <w:rPr>
                <w:webHidden/>
              </w:rPr>
              <w:tab/>
            </w:r>
            <w:r w:rsidR="003B2B51">
              <w:rPr>
                <w:webHidden/>
              </w:rPr>
              <w:fldChar w:fldCharType="begin"/>
            </w:r>
            <w:r w:rsidR="003B2B51">
              <w:rPr>
                <w:webHidden/>
              </w:rPr>
              <w:instrText xml:space="preserve"> PAGEREF _Toc445910179 \h </w:instrText>
            </w:r>
            <w:r w:rsidR="003B2B51">
              <w:rPr>
                <w:webHidden/>
              </w:rPr>
            </w:r>
            <w:r w:rsidR="003B2B51">
              <w:rPr>
                <w:webHidden/>
              </w:rPr>
              <w:fldChar w:fldCharType="separate"/>
            </w:r>
            <w:r>
              <w:rPr>
                <w:webHidden/>
              </w:rPr>
              <w:t>6</w:t>
            </w:r>
            <w:r w:rsidR="003B2B51">
              <w:rPr>
                <w:webHidden/>
              </w:rPr>
              <w:fldChar w:fldCharType="end"/>
            </w:r>
          </w:hyperlink>
        </w:p>
        <w:p w:rsidR="003B2B51" w:rsidRDefault="00854C2A">
          <w:pPr>
            <w:pStyle w:val="TOC2"/>
            <w:rPr>
              <w:rFonts w:eastAsiaTheme="minorEastAsia"/>
              <w:color w:val="auto"/>
              <w:sz w:val="22"/>
              <w:szCs w:val="22"/>
              <w:lang w:eastAsia="en-AU"/>
            </w:rPr>
          </w:pPr>
          <w:hyperlink w:anchor="_Toc445910183" w:history="1">
            <w:r w:rsidR="003B2B51" w:rsidRPr="00114F7E">
              <w:rPr>
                <w:rStyle w:val="Hyperlink"/>
              </w:rPr>
              <w:t>Transparency in rent calculations</w:t>
            </w:r>
            <w:r w:rsidR="003B2B51">
              <w:rPr>
                <w:webHidden/>
              </w:rPr>
              <w:tab/>
            </w:r>
            <w:r w:rsidR="003B2B51">
              <w:rPr>
                <w:webHidden/>
              </w:rPr>
              <w:fldChar w:fldCharType="begin"/>
            </w:r>
            <w:r w:rsidR="003B2B51">
              <w:rPr>
                <w:webHidden/>
              </w:rPr>
              <w:instrText xml:space="preserve"> PAGEREF _Toc445910183 \h </w:instrText>
            </w:r>
            <w:r w:rsidR="003B2B51">
              <w:rPr>
                <w:webHidden/>
              </w:rPr>
            </w:r>
            <w:r w:rsidR="003B2B51">
              <w:rPr>
                <w:webHidden/>
              </w:rPr>
              <w:fldChar w:fldCharType="separate"/>
            </w:r>
            <w:r>
              <w:rPr>
                <w:webHidden/>
              </w:rPr>
              <w:t>7</w:t>
            </w:r>
            <w:r w:rsidR="003B2B51">
              <w:rPr>
                <w:webHidden/>
              </w:rPr>
              <w:fldChar w:fldCharType="end"/>
            </w:r>
          </w:hyperlink>
        </w:p>
        <w:p w:rsidR="003B2B51" w:rsidRDefault="00854C2A">
          <w:pPr>
            <w:pStyle w:val="TOC2"/>
            <w:rPr>
              <w:rFonts w:eastAsiaTheme="minorEastAsia"/>
              <w:color w:val="auto"/>
              <w:sz w:val="22"/>
              <w:szCs w:val="22"/>
              <w:lang w:eastAsia="en-AU"/>
            </w:rPr>
          </w:pPr>
          <w:hyperlink w:anchor="_Toc445910184" w:history="1">
            <w:r w:rsidR="003B2B51" w:rsidRPr="00114F7E">
              <w:rPr>
                <w:rStyle w:val="Hyperlink"/>
              </w:rPr>
              <w:t>Maintaining NDIS principles of choice and control</w:t>
            </w:r>
            <w:r w:rsidR="003B2B51">
              <w:rPr>
                <w:webHidden/>
              </w:rPr>
              <w:tab/>
            </w:r>
            <w:r w:rsidR="003B2B51">
              <w:rPr>
                <w:webHidden/>
              </w:rPr>
              <w:fldChar w:fldCharType="begin"/>
            </w:r>
            <w:r w:rsidR="003B2B51">
              <w:rPr>
                <w:webHidden/>
              </w:rPr>
              <w:instrText xml:space="preserve"> PAGEREF _Toc445910184 \h </w:instrText>
            </w:r>
            <w:r w:rsidR="003B2B51">
              <w:rPr>
                <w:webHidden/>
              </w:rPr>
            </w:r>
            <w:r w:rsidR="003B2B51">
              <w:rPr>
                <w:webHidden/>
              </w:rPr>
              <w:fldChar w:fldCharType="separate"/>
            </w:r>
            <w:r>
              <w:rPr>
                <w:webHidden/>
              </w:rPr>
              <w:t>7</w:t>
            </w:r>
            <w:r w:rsidR="003B2B51">
              <w:rPr>
                <w:webHidden/>
              </w:rPr>
              <w:fldChar w:fldCharType="end"/>
            </w:r>
          </w:hyperlink>
        </w:p>
        <w:p w:rsidR="003B2B51" w:rsidRDefault="00854C2A">
          <w:pPr>
            <w:pStyle w:val="TOC2"/>
            <w:rPr>
              <w:rFonts w:eastAsiaTheme="minorEastAsia"/>
              <w:color w:val="auto"/>
              <w:sz w:val="22"/>
              <w:szCs w:val="22"/>
              <w:lang w:eastAsia="en-AU"/>
            </w:rPr>
          </w:pPr>
          <w:hyperlink w:anchor="_Toc445910185" w:history="1">
            <w:r w:rsidR="003B2B51" w:rsidRPr="00114F7E">
              <w:rPr>
                <w:rStyle w:val="Hyperlink"/>
              </w:rPr>
              <w:t>Choosing with whom you live</w:t>
            </w:r>
            <w:r w:rsidR="003B2B51">
              <w:rPr>
                <w:webHidden/>
              </w:rPr>
              <w:tab/>
            </w:r>
            <w:r w:rsidR="003B2B51">
              <w:rPr>
                <w:webHidden/>
              </w:rPr>
              <w:fldChar w:fldCharType="begin"/>
            </w:r>
            <w:r w:rsidR="003B2B51">
              <w:rPr>
                <w:webHidden/>
              </w:rPr>
              <w:instrText xml:space="preserve"> PAGEREF _Toc445910185 \h </w:instrText>
            </w:r>
            <w:r w:rsidR="003B2B51">
              <w:rPr>
                <w:webHidden/>
              </w:rPr>
            </w:r>
            <w:r w:rsidR="003B2B51">
              <w:rPr>
                <w:webHidden/>
              </w:rPr>
              <w:fldChar w:fldCharType="separate"/>
            </w:r>
            <w:r>
              <w:rPr>
                <w:webHidden/>
              </w:rPr>
              <w:t>7</w:t>
            </w:r>
            <w:r w:rsidR="003B2B51">
              <w:rPr>
                <w:webHidden/>
              </w:rPr>
              <w:fldChar w:fldCharType="end"/>
            </w:r>
          </w:hyperlink>
        </w:p>
        <w:p w:rsidR="003B2B51" w:rsidRDefault="00854C2A">
          <w:pPr>
            <w:pStyle w:val="TOC2"/>
            <w:rPr>
              <w:rFonts w:eastAsiaTheme="minorEastAsia"/>
              <w:color w:val="auto"/>
              <w:sz w:val="22"/>
              <w:szCs w:val="22"/>
              <w:lang w:eastAsia="en-AU"/>
            </w:rPr>
          </w:pPr>
          <w:hyperlink w:anchor="_Toc445910186" w:history="1">
            <w:r w:rsidR="003B2B51" w:rsidRPr="00114F7E">
              <w:rPr>
                <w:rStyle w:val="Hyperlink"/>
              </w:rPr>
              <w:t>Separation of the landlord and support role and tenancy rights</w:t>
            </w:r>
            <w:r w:rsidR="003B2B51">
              <w:rPr>
                <w:webHidden/>
              </w:rPr>
              <w:tab/>
            </w:r>
            <w:r w:rsidR="003B2B51">
              <w:rPr>
                <w:webHidden/>
              </w:rPr>
              <w:fldChar w:fldCharType="begin"/>
            </w:r>
            <w:r w:rsidR="003B2B51">
              <w:rPr>
                <w:webHidden/>
              </w:rPr>
              <w:instrText xml:space="preserve"> PAGEREF _Toc445910186 \h </w:instrText>
            </w:r>
            <w:r w:rsidR="003B2B51">
              <w:rPr>
                <w:webHidden/>
              </w:rPr>
            </w:r>
            <w:r w:rsidR="003B2B51">
              <w:rPr>
                <w:webHidden/>
              </w:rPr>
              <w:fldChar w:fldCharType="separate"/>
            </w:r>
            <w:r>
              <w:rPr>
                <w:webHidden/>
              </w:rPr>
              <w:t>8</w:t>
            </w:r>
            <w:r w:rsidR="003B2B51">
              <w:rPr>
                <w:webHidden/>
              </w:rPr>
              <w:fldChar w:fldCharType="end"/>
            </w:r>
          </w:hyperlink>
        </w:p>
        <w:p w:rsidR="003B2B51" w:rsidRDefault="00854C2A">
          <w:pPr>
            <w:pStyle w:val="TOC2"/>
            <w:rPr>
              <w:rFonts w:eastAsiaTheme="minorEastAsia"/>
              <w:color w:val="auto"/>
              <w:sz w:val="22"/>
              <w:szCs w:val="22"/>
              <w:lang w:eastAsia="en-AU"/>
            </w:rPr>
          </w:pPr>
          <w:hyperlink w:anchor="_Toc445910187" w:history="1">
            <w:r w:rsidR="003B2B51" w:rsidRPr="00114F7E">
              <w:rPr>
                <w:rStyle w:val="Hyperlink"/>
              </w:rPr>
              <w:t>Location of accommodation</w:t>
            </w:r>
            <w:r w:rsidR="003B2B51">
              <w:rPr>
                <w:webHidden/>
              </w:rPr>
              <w:tab/>
            </w:r>
            <w:r w:rsidR="003B2B51">
              <w:rPr>
                <w:webHidden/>
              </w:rPr>
              <w:fldChar w:fldCharType="begin"/>
            </w:r>
            <w:r w:rsidR="003B2B51">
              <w:rPr>
                <w:webHidden/>
              </w:rPr>
              <w:instrText xml:space="preserve"> PAGEREF _Toc445910187 \h </w:instrText>
            </w:r>
            <w:r w:rsidR="003B2B51">
              <w:rPr>
                <w:webHidden/>
              </w:rPr>
            </w:r>
            <w:r w:rsidR="003B2B51">
              <w:rPr>
                <w:webHidden/>
              </w:rPr>
              <w:fldChar w:fldCharType="separate"/>
            </w:r>
            <w:r>
              <w:rPr>
                <w:webHidden/>
              </w:rPr>
              <w:t>9</w:t>
            </w:r>
            <w:r w:rsidR="003B2B51">
              <w:rPr>
                <w:webHidden/>
              </w:rPr>
              <w:fldChar w:fldCharType="end"/>
            </w:r>
          </w:hyperlink>
        </w:p>
        <w:p w:rsidR="003B2B51" w:rsidRDefault="00854C2A">
          <w:pPr>
            <w:pStyle w:val="TOC2"/>
            <w:rPr>
              <w:rFonts w:eastAsiaTheme="minorEastAsia"/>
              <w:color w:val="auto"/>
              <w:sz w:val="22"/>
              <w:szCs w:val="22"/>
              <w:lang w:eastAsia="en-AU"/>
            </w:rPr>
          </w:pPr>
          <w:hyperlink w:anchor="_Toc445910188" w:history="1">
            <w:r w:rsidR="003B2B51" w:rsidRPr="00114F7E">
              <w:rPr>
                <w:rStyle w:val="Hyperlink"/>
              </w:rPr>
              <w:t>Home ownership</w:t>
            </w:r>
            <w:r w:rsidR="003B2B51">
              <w:rPr>
                <w:webHidden/>
              </w:rPr>
              <w:tab/>
            </w:r>
            <w:r w:rsidR="003B2B51">
              <w:rPr>
                <w:webHidden/>
              </w:rPr>
              <w:fldChar w:fldCharType="begin"/>
            </w:r>
            <w:r w:rsidR="003B2B51">
              <w:rPr>
                <w:webHidden/>
              </w:rPr>
              <w:instrText xml:space="preserve"> PAGEREF _Toc445910188 \h </w:instrText>
            </w:r>
            <w:r w:rsidR="003B2B51">
              <w:rPr>
                <w:webHidden/>
              </w:rPr>
            </w:r>
            <w:r w:rsidR="003B2B51">
              <w:rPr>
                <w:webHidden/>
              </w:rPr>
              <w:fldChar w:fldCharType="separate"/>
            </w:r>
            <w:r>
              <w:rPr>
                <w:webHidden/>
              </w:rPr>
              <w:t>9</w:t>
            </w:r>
            <w:r w:rsidR="003B2B51">
              <w:rPr>
                <w:webHidden/>
              </w:rPr>
              <w:fldChar w:fldCharType="end"/>
            </w:r>
          </w:hyperlink>
        </w:p>
        <w:p w:rsidR="003B2B51" w:rsidRDefault="00854C2A">
          <w:pPr>
            <w:pStyle w:val="TOC1"/>
            <w:rPr>
              <w:rFonts w:eastAsiaTheme="minorEastAsia"/>
              <w:noProof/>
              <w:color w:val="auto"/>
              <w:sz w:val="22"/>
              <w:szCs w:val="22"/>
              <w:lang w:eastAsia="en-AU"/>
            </w:rPr>
          </w:pPr>
          <w:hyperlink w:anchor="_Toc445910189" w:history="1">
            <w:r w:rsidR="003B2B51" w:rsidRPr="00114F7E">
              <w:rPr>
                <w:rStyle w:val="Hyperlink"/>
                <w:noProof/>
              </w:rPr>
              <w:t>Possible funding models</w:t>
            </w:r>
            <w:r w:rsidR="003B2B51">
              <w:rPr>
                <w:noProof/>
                <w:webHidden/>
              </w:rPr>
              <w:tab/>
            </w:r>
            <w:r w:rsidR="003B2B51">
              <w:rPr>
                <w:noProof/>
                <w:webHidden/>
              </w:rPr>
              <w:fldChar w:fldCharType="begin"/>
            </w:r>
            <w:r w:rsidR="003B2B51">
              <w:rPr>
                <w:noProof/>
                <w:webHidden/>
              </w:rPr>
              <w:instrText xml:space="preserve"> PAGEREF _Toc445910189 \h </w:instrText>
            </w:r>
            <w:r w:rsidR="003B2B51">
              <w:rPr>
                <w:noProof/>
                <w:webHidden/>
              </w:rPr>
            </w:r>
            <w:r w:rsidR="003B2B51">
              <w:rPr>
                <w:noProof/>
                <w:webHidden/>
              </w:rPr>
              <w:fldChar w:fldCharType="separate"/>
            </w:r>
            <w:r>
              <w:rPr>
                <w:noProof/>
                <w:webHidden/>
              </w:rPr>
              <w:t>9</w:t>
            </w:r>
            <w:r w:rsidR="003B2B51">
              <w:rPr>
                <w:noProof/>
                <w:webHidden/>
              </w:rPr>
              <w:fldChar w:fldCharType="end"/>
            </w:r>
          </w:hyperlink>
        </w:p>
        <w:p w:rsidR="003B2B51" w:rsidRDefault="00854C2A">
          <w:pPr>
            <w:pStyle w:val="TOC2"/>
            <w:rPr>
              <w:rFonts w:eastAsiaTheme="minorEastAsia"/>
              <w:color w:val="auto"/>
              <w:sz w:val="22"/>
              <w:szCs w:val="22"/>
              <w:lang w:eastAsia="en-AU"/>
            </w:rPr>
          </w:pPr>
          <w:hyperlink w:anchor="_Toc445910190" w:history="1">
            <w:r w:rsidR="003B2B51" w:rsidRPr="00114F7E">
              <w:rPr>
                <w:rStyle w:val="Hyperlink"/>
              </w:rPr>
              <w:t>Strategies to stimulate innovative housing verses a modified market</w:t>
            </w:r>
            <w:r w:rsidR="003B2B51">
              <w:rPr>
                <w:webHidden/>
              </w:rPr>
              <w:tab/>
            </w:r>
            <w:r w:rsidR="003B2B51">
              <w:rPr>
                <w:webHidden/>
              </w:rPr>
              <w:fldChar w:fldCharType="begin"/>
            </w:r>
            <w:r w:rsidR="003B2B51">
              <w:rPr>
                <w:webHidden/>
              </w:rPr>
              <w:instrText xml:space="preserve"> PAGEREF _Toc445910190 \h </w:instrText>
            </w:r>
            <w:r w:rsidR="003B2B51">
              <w:rPr>
                <w:webHidden/>
              </w:rPr>
            </w:r>
            <w:r w:rsidR="003B2B51">
              <w:rPr>
                <w:webHidden/>
              </w:rPr>
              <w:fldChar w:fldCharType="separate"/>
            </w:r>
            <w:r>
              <w:rPr>
                <w:webHidden/>
              </w:rPr>
              <w:t>9</w:t>
            </w:r>
            <w:r w:rsidR="003B2B51">
              <w:rPr>
                <w:webHidden/>
              </w:rPr>
              <w:fldChar w:fldCharType="end"/>
            </w:r>
          </w:hyperlink>
        </w:p>
        <w:p w:rsidR="003B2B51" w:rsidRDefault="00854C2A">
          <w:pPr>
            <w:pStyle w:val="TOC2"/>
            <w:rPr>
              <w:rFonts w:eastAsiaTheme="minorEastAsia"/>
              <w:color w:val="auto"/>
              <w:sz w:val="22"/>
              <w:szCs w:val="22"/>
              <w:lang w:eastAsia="en-AU"/>
            </w:rPr>
          </w:pPr>
          <w:hyperlink w:anchor="_Toc445910191" w:history="1">
            <w:r w:rsidR="003B2B51" w:rsidRPr="00114F7E">
              <w:rPr>
                <w:rStyle w:val="Hyperlink"/>
              </w:rPr>
              <w:t>Shared equity: home ownership</w:t>
            </w:r>
            <w:r w:rsidR="003B2B51">
              <w:rPr>
                <w:webHidden/>
              </w:rPr>
              <w:tab/>
            </w:r>
            <w:r w:rsidR="003B2B51">
              <w:rPr>
                <w:webHidden/>
              </w:rPr>
              <w:fldChar w:fldCharType="begin"/>
            </w:r>
            <w:r w:rsidR="003B2B51">
              <w:rPr>
                <w:webHidden/>
              </w:rPr>
              <w:instrText xml:space="preserve"> PAGEREF _Toc445910191 \h </w:instrText>
            </w:r>
            <w:r w:rsidR="003B2B51">
              <w:rPr>
                <w:webHidden/>
              </w:rPr>
            </w:r>
            <w:r w:rsidR="003B2B51">
              <w:rPr>
                <w:webHidden/>
              </w:rPr>
              <w:fldChar w:fldCharType="separate"/>
            </w:r>
            <w:r>
              <w:rPr>
                <w:webHidden/>
              </w:rPr>
              <w:t>10</w:t>
            </w:r>
            <w:r w:rsidR="003B2B51">
              <w:rPr>
                <w:webHidden/>
              </w:rPr>
              <w:fldChar w:fldCharType="end"/>
            </w:r>
          </w:hyperlink>
        </w:p>
        <w:p w:rsidR="003B2B51" w:rsidRDefault="00854C2A">
          <w:pPr>
            <w:pStyle w:val="TOC1"/>
            <w:rPr>
              <w:rFonts w:eastAsiaTheme="minorEastAsia"/>
              <w:noProof/>
              <w:color w:val="auto"/>
              <w:sz w:val="22"/>
              <w:szCs w:val="22"/>
              <w:lang w:eastAsia="en-AU"/>
            </w:rPr>
          </w:pPr>
          <w:hyperlink w:anchor="_Toc445910192" w:history="1">
            <w:r w:rsidR="003B2B51" w:rsidRPr="00114F7E">
              <w:rPr>
                <w:rStyle w:val="Hyperlink"/>
                <w:noProof/>
              </w:rPr>
              <w:t>Conclusion</w:t>
            </w:r>
            <w:r w:rsidR="003B2B51">
              <w:rPr>
                <w:noProof/>
                <w:webHidden/>
              </w:rPr>
              <w:tab/>
            </w:r>
            <w:r w:rsidR="003B2B51">
              <w:rPr>
                <w:noProof/>
                <w:webHidden/>
              </w:rPr>
              <w:fldChar w:fldCharType="begin"/>
            </w:r>
            <w:r w:rsidR="003B2B51">
              <w:rPr>
                <w:noProof/>
                <w:webHidden/>
              </w:rPr>
              <w:instrText xml:space="preserve"> PAGEREF _Toc445910192 \h </w:instrText>
            </w:r>
            <w:r w:rsidR="003B2B51">
              <w:rPr>
                <w:noProof/>
                <w:webHidden/>
              </w:rPr>
            </w:r>
            <w:r w:rsidR="003B2B51">
              <w:rPr>
                <w:noProof/>
                <w:webHidden/>
              </w:rPr>
              <w:fldChar w:fldCharType="separate"/>
            </w:r>
            <w:r>
              <w:rPr>
                <w:noProof/>
                <w:webHidden/>
              </w:rPr>
              <w:t>10</w:t>
            </w:r>
            <w:r w:rsidR="003B2B51">
              <w:rPr>
                <w:noProof/>
                <w:webHidden/>
              </w:rPr>
              <w:fldChar w:fldCharType="end"/>
            </w:r>
          </w:hyperlink>
        </w:p>
        <w:p w:rsidR="00E41050" w:rsidRDefault="00E41050" w:rsidP="00E64E00">
          <w:r>
            <w:rPr>
              <w:color w:val="002060"/>
              <w:sz w:val="28"/>
              <w:szCs w:val="48"/>
            </w:rPr>
            <w:fldChar w:fldCharType="end"/>
          </w:r>
        </w:p>
        <w:p w:rsidR="00FB0CEC" w:rsidRDefault="00854C2A" w:rsidP="00E64E00"/>
      </w:sdtContent>
    </w:sdt>
    <w:p w:rsidR="00F9055E" w:rsidRDefault="00F9055E" w:rsidP="00E64E00"/>
    <w:p w:rsidR="002E28CA" w:rsidRDefault="002E28CA" w:rsidP="00E64E00">
      <w:bookmarkStart w:id="5" w:name="_Toc418057655"/>
      <w:bookmarkStart w:id="6" w:name="_Toc413879492"/>
      <w:r>
        <w:br w:type="page"/>
      </w:r>
    </w:p>
    <w:p w:rsidR="00F9055E" w:rsidRPr="00F9055E" w:rsidRDefault="00F9055E" w:rsidP="002F707F">
      <w:pPr>
        <w:pStyle w:val="Heading3"/>
        <w:jc w:val="both"/>
      </w:pPr>
      <w:bookmarkStart w:id="7" w:name="_Toc418057656"/>
      <w:bookmarkStart w:id="8" w:name="_Toc437265276"/>
      <w:bookmarkStart w:id="9" w:name="_Toc437346352"/>
      <w:bookmarkStart w:id="10" w:name="_Toc445910171"/>
      <w:bookmarkEnd w:id="5"/>
      <w:r w:rsidRPr="00F9055E">
        <w:lastRenderedPageBreak/>
        <w:t>About Queenslanders with Disability Network (QDN)</w:t>
      </w:r>
      <w:bookmarkEnd w:id="6"/>
      <w:bookmarkEnd w:id="7"/>
      <w:bookmarkEnd w:id="8"/>
      <w:bookmarkEnd w:id="9"/>
      <w:bookmarkEnd w:id="10"/>
    </w:p>
    <w:p w:rsidR="00F9055E" w:rsidRPr="00F9055E" w:rsidRDefault="00F9055E" w:rsidP="002F707F">
      <w:pPr>
        <w:jc w:val="both"/>
      </w:pPr>
      <w:r w:rsidRPr="00F9055E">
        <w:t>QDN is an organisation of, for, and with people with disability</w:t>
      </w:r>
      <w:r w:rsidR="00C607EC">
        <w:t>. T</w:t>
      </w:r>
      <w:r w:rsidRPr="00F9055E">
        <w:t xml:space="preserve">he organisation’s motto is “nothing about us without us.” QDN operates a state-wide network of members who provide information, feedback and views from a consumer perspective to inform systemic policy feedback to Government and peak bodies. QDN also provides information and referral support to people with disability. </w:t>
      </w:r>
      <w:r w:rsidR="00E722FE" w:rsidRPr="00E722FE">
        <w:t>All of QDN’s voting members are people with disability.</w:t>
      </w:r>
    </w:p>
    <w:p w:rsidR="00F9055E" w:rsidRDefault="000D4977" w:rsidP="002F707F">
      <w:pPr>
        <w:jc w:val="both"/>
      </w:pPr>
      <w:r>
        <w:t xml:space="preserve">This submission is informed by feedback from </w:t>
      </w:r>
      <w:r w:rsidR="00E722FE">
        <w:t xml:space="preserve">QDN’s </w:t>
      </w:r>
      <w:r w:rsidR="00174771">
        <w:t>7</w:t>
      </w:r>
      <w:r w:rsidR="00E722FE">
        <w:t>00</w:t>
      </w:r>
      <w:r w:rsidR="00A676CF">
        <w:t xml:space="preserve"> plus</w:t>
      </w:r>
      <w:r w:rsidR="00E722FE">
        <w:t xml:space="preserve"> </w:t>
      </w:r>
      <w:r>
        <w:t>members</w:t>
      </w:r>
      <w:r w:rsidR="00E722FE">
        <w:t xml:space="preserve"> and 500 supporters. In particular the feedback is informed by QDN’s Housing Champions, 21 </w:t>
      </w:r>
      <w:r w:rsidR="001B2756">
        <w:t xml:space="preserve">members </w:t>
      </w:r>
      <w:r w:rsidR="00E722FE">
        <w:t>with disability located across the state who have a dedicated interest in securing accessible, affordable housing for Queenslanders with disability.</w:t>
      </w:r>
      <w:r w:rsidR="00B847AB">
        <w:t xml:space="preserve"> </w:t>
      </w:r>
    </w:p>
    <w:p w:rsidR="00F9055E" w:rsidRPr="00F9055E" w:rsidRDefault="00F9055E" w:rsidP="002F707F">
      <w:pPr>
        <w:pStyle w:val="Heading3"/>
        <w:jc w:val="both"/>
      </w:pPr>
      <w:bookmarkStart w:id="11" w:name="_Toc273107840"/>
      <w:bookmarkStart w:id="12" w:name="_Toc346890373"/>
      <w:bookmarkStart w:id="13" w:name="_Toc363828327"/>
      <w:bookmarkStart w:id="14" w:name="_Toc413879493"/>
      <w:bookmarkStart w:id="15" w:name="_Toc418057657"/>
      <w:bookmarkStart w:id="16" w:name="_Toc437265277"/>
      <w:bookmarkStart w:id="17" w:name="_Toc437346353"/>
      <w:bookmarkStart w:id="18" w:name="_Toc445910172"/>
      <w:r w:rsidRPr="00F9055E">
        <w:t>Value Statement on People with Disability</w:t>
      </w:r>
      <w:bookmarkEnd w:id="11"/>
      <w:bookmarkEnd w:id="12"/>
      <w:bookmarkEnd w:id="13"/>
      <w:bookmarkEnd w:id="14"/>
      <w:bookmarkEnd w:id="15"/>
      <w:bookmarkEnd w:id="16"/>
      <w:bookmarkEnd w:id="17"/>
      <w:bookmarkEnd w:id="18"/>
    </w:p>
    <w:p w:rsidR="00F9055E" w:rsidRPr="00F9055E" w:rsidRDefault="00F9055E" w:rsidP="002F707F">
      <w:pPr>
        <w:jc w:val="both"/>
      </w:pPr>
      <w:r w:rsidRPr="00F9055E">
        <w:t xml:space="preserve">QDN’s work in providing feedback and input into systemic policy issues is based upon the organisation’s core values and the place of people </w:t>
      </w:r>
      <w:r w:rsidR="00F85DB7">
        <w:t>with disability in an inclusive</w:t>
      </w:r>
      <w:r w:rsidRPr="00F9055E">
        <w:t xml:space="preserve"> Australian society.</w:t>
      </w:r>
      <w:r w:rsidR="00EE48D9">
        <w:t xml:space="preserve"> </w:t>
      </w:r>
    </w:p>
    <w:p w:rsidR="00F9055E" w:rsidRPr="00F9055E" w:rsidRDefault="00F9055E" w:rsidP="002F707F">
      <w:pPr>
        <w:jc w:val="both"/>
      </w:pPr>
      <w:r w:rsidRPr="00F9055E">
        <w:t>QDN believes that:</w:t>
      </w:r>
    </w:p>
    <w:p w:rsidR="00F9055E" w:rsidRPr="00EF28B5" w:rsidRDefault="005D2054" w:rsidP="002F707F">
      <w:pPr>
        <w:pStyle w:val="ListParagraph"/>
        <w:numPr>
          <w:ilvl w:val="0"/>
          <w:numId w:val="1"/>
        </w:numPr>
        <w:jc w:val="both"/>
      </w:pPr>
      <w:proofErr w:type="gramStart"/>
      <w:r>
        <w:t>a</w:t>
      </w:r>
      <w:r w:rsidR="00F9055E" w:rsidRPr="00EF28B5">
        <w:t>ll</w:t>
      </w:r>
      <w:proofErr w:type="gramEnd"/>
      <w:r w:rsidR="00F9055E" w:rsidRPr="00EF28B5">
        <w:t xml:space="preserve"> people with disability have a right to a place in the community and</w:t>
      </w:r>
      <w:r w:rsidR="00CD1FDE" w:rsidRPr="00EF28B5">
        <w:t xml:space="preserve"> have</w:t>
      </w:r>
      <w:r w:rsidR="00F9055E" w:rsidRPr="00EF28B5">
        <w:t xml:space="preserve"> contributions to make to community. This is as empowered, free citizens who are as valued, present, participating and welcomed as members of </w:t>
      </w:r>
      <w:r>
        <w:t>any dynamic and diverse society</w:t>
      </w:r>
    </w:p>
    <w:p w:rsidR="00F9055E" w:rsidRPr="00EF28B5" w:rsidRDefault="005D2054" w:rsidP="002F707F">
      <w:pPr>
        <w:pStyle w:val="ListParagraph"/>
        <w:numPr>
          <w:ilvl w:val="0"/>
          <w:numId w:val="1"/>
        </w:numPr>
        <w:jc w:val="both"/>
      </w:pPr>
      <w:proofErr w:type="gramStart"/>
      <w:r>
        <w:t>t</w:t>
      </w:r>
      <w:r w:rsidR="00F9055E" w:rsidRPr="00EF28B5">
        <w:t>he</w:t>
      </w:r>
      <w:proofErr w:type="gramEnd"/>
      <w:r w:rsidR="00F9055E" w:rsidRPr="00EF28B5">
        <w:t xml:space="preserve"> place of people with disability in the community is not just about people with disability having a house in the community. </w:t>
      </w:r>
      <w:r w:rsidR="00143A30" w:rsidRPr="00EF28B5">
        <w:t xml:space="preserve"> Core to this </w:t>
      </w:r>
      <w:r w:rsidR="00F9055E" w:rsidRPr="00EF28B5">
        <w:t>is that they are welcomed in the community as ordinary citizens</w:t>
      </w:r>
      <w:r w:rsidR="008C0DD4">
        <w:t>,</w:t>
      </w:r>
      <w:r w:rsidR="00F9055E" w:rsidRPr="00EF28B5">
        <w:t xml:space="preserve"> where they are genuinely given opportunities to contribute and actively participate. People with disability need to be in communities where the</w:t>
      </w:r>
      <w:r w:rsidR="008C0DD4">
        <w:t>ir individuality, their talents</w:t>
      </w:r>
      <w:r w:rsidR="00F9055E" w:rsidRPr="00EF28B5">
        <w:t xml:space="preserve"> and their lived experiences of disability </w:t>
      </w:r>
      <w:r>
        <w:t>are recognised and acknowledged</w:t>
      </w:r>
    </w:p>
    <w:p w:rsidR="00F9055E" w:rsidRPr="00EF28B5" w:rsidRDefault="005D2054" w:rsidP="002F707F">
      <w:pPr>
        <w:pStyle w:val="ListParagraph"/>
        <w:numPr>
          <w:ilvl w:val="0"/>
          <w:numId w:val="1"/>
        </w:numPr>
        <w:jc w:val="both"/>
      </w:pPr>
      <w:r>
        <w:t>c</w:t>
      </w:r>
      <w:r w:rsidR="00F9055E" w:rsidRPr="00EF28B5">
        <w:t>ulturally and historically, people with disability are not afforded the same value, opportunit</w:t>
      </w:r>
      <w:r>
        <w:t>ies or access to community life</w:t>
      </w:r>
    </w:p>
    <w:p w:rsidR="00F9055E" w:rsidRPr="00EF28B5" w:rsidRDefault="005D2054" w:rsidP="002F707F">
      <w:pPr>
        <w:pStyle w:val="ListParagraph"/>
        <w:numPr>
          <w:ilvl w:val="0"/>
          <w:numId w:val="1"/>
        </w:numPr>
        <w:jc w:val="both"/>
      </w:pPr>
      <w:r>
        <w:t>a</w:t>
      </w:r>
      <w:r w:rsidR="00F9055E" w:rsidRPr="00EF28B5">
        <w:t>ny inclusion in community for people with disability is conditiona</w:t>
      </w:r>
      <w:r>
        <w:t>l and vulnerable to withdrawal</w:t>
      </w:r>
    </w:p>
    <w:p w:rsidR="00F9055E" w:rsidRPr="00EF28B5" w:rsidRDefault="005D2054" w:rsidP="002F707F">
      <w:pPr>
        <w:pStyle w:val="ListParagraph"/>
        <w:numPr>
          <w:ilvl w:val="0"/>
          <w:numId w:val="1"/>
        </w:numPr>
        <w:jc w:val="both"/>
      </w:pPr>
      <w:r>
        <w:t>m</w:t>
      </w:r>
      <w:r w:rsidR="00F9055E" w:rsidRPr="00EF28B5">
        <w:t>any people with disability in Queensland are excluded from the most basi</w:t>
      </w:r>
      <w:r>
        <w:t>c experiences of ordinary lives</w:t>
      </w:r>
    </w:p>
    <w:p w:rsidR="00F9055E" w:rsidRPr="00EF28B5" w:rsidRDefault="005D2054" w:rsidP="002F707F">
      <w:pPr>
        <w:pStyle w:val="ListParagraph"/>
        <w:numPr>
          <w:ilvl w:val="0"/>
          <w:numId w:val="1"/>
        </w:numPr>
        <w:jc w:val="both"/>
      </w:pPr>
      <w:r>
        <w:t>c</w:t>
      </w:r>
      <w:r w:rsidR="00F9055E" w:rsidRPr="00EF28B5">
        <w:t>urrent exclusionary practices are unac</w:t>
      </w:r>
      <w:r>
        <w:t>ceptable and must be challenged</w:t>
      </w:r>
    </w:p>
    <w:p w:rsidR="00F9055E" w:rsidRPr="00EF28B5" w:rsidRDefault="005D2054" w:rsidP="002F707F">
      <w:pPr>
        <w:pStyle w:val="ListParagraph"/>
        <w:numPr>
          <w:ilvl w:val="0"/>
          <w:numId w:val="1"/>
        </w:numPr>
        <w:jc w:val="both"/>
      </w:pPr>
      <w:r>
        <w:t>t</w:t>
      </w:r>
      <w:r w:rsidR="00F9055E" w:rsidRPr="00EF28B5">
        <w:t>hese issues affect not only people with dis</w:t>
      </w:r>
      <w:r>
        <w:t>ability but the whole community</w:t>
      </w:r>
    </w:p>
    <w:p w:rsidR="008A59AE" w:rsidRPr="008A59AE" w:rsidRDefault="005D2054" w:rsidP="008A59AE">
      <w:pPr>
        <w:pStyle w:val="ListParagraph"/>
        <w:numPr>
          <w:ilvl w:val="0"/>
          <w:numId w:val="1"/>
        </w:numPr>
        <w:rPr>
          <w:b/>
        </w:rPr>
      </w:pPr>
      <w:proofErr w:type="gramStart"/>
      <w:r>
        <w:lastRenderedPageBreak/>
        <w:t>t</w:t>
      </w:r>
      <w:r w:rsidR="00F9055E" w:rsidRPr="00EF28B5">
        <w:t>he</w:t>
      </w:r>
      <w:proofErr w:type="gramEnd"/>
      <w:r w:rsidR="00F9055E" w:rsidRPr="00EF28B5">
        <w:t xml:space="preserve"> responsibility is shared. It lies within government (federal, state and local) and the community at large, to ensure that people with disability have a place and are </w:t>
      </w:r>
      <w:r w:rsidR="003B2B51">
        <w:t xml:space="preserve">sufficiently </w:t>
      </w:r>
      <w:r w:rsidR="00F9055E" w:rsidRPr="00EF28B5">
        <w:t xml:space="preserve">resourced to </w:t>
      </w:r>
      <w:r w:rsidR="003B2B51">
        <w:t xml:space="preserve">enable them to </w:t>
      </w:r>
      <w:r w:rsidR="00F9055E" w:rsidRPr="00F9055E">
        <w:t>belong in community.</w:t>
      </w:r>
      <w:bookmarkStart w:id="19" w:name="_Toc437265279"/>
      <w:bookmarkStart w:id="20" w:name="_Toc437346355"/>
      <w:bookmarkStart w:id="21" w:name="_Toc418057658"/>
      <w:bookmarkStart w:id="22" w:name="_Toc437265278"/>
      <w:bookmarkStart w:id="23" w:name="_Toc437346354"/>
    </w:p>
    <w:p w:rsidR="005F37A1" w:rsidRDefault="005F37A1" w:rsidP="002F707F">
      <w:pPr>
        <w:pStyle w:val="Heading3"/>
        <w:jc w:val="both"/>
      </w:pPr>
      <w:bookmarkStart w:id="24" w:name="_Toc445910173"/>
      <w:r>
        <w:t>Policy Overview</w:t>
      </w:r>
      <w:bookmarkEnd w:id="19"/>
      <w:bookmarkEnd w:id="20"/>
      <w:bookmarkEnd w:id="24"/>
      <w:r>
        <w:t xml:space="preserve"> </w:t>
      </w:r>
    </w:p>
    <w:p w:rsidR="007A4E44" w:rsidRPr="004550EA" w:rsidRDefault="007A4E44" w:rsidP="007A4E44">
      <w:pPr>
        <w:spacing w:after="240" w:line="210" w:lineRule="atLeast"/>
        <w:jc w:val="both"/>
        <w:textAlignment w:val="baseline"/>
        <w:rPr>
          <w:rFonts w:eastAsia="Times New Roman" w:cs="Lucida Sans Unicode"/>
          <w:color w:val="000000"/>
          <w:lang w:eastAsia="en-AU"/>
        </w:rPr>
      </w:pPr>
      <w:r w:rsidRPr="004550EA">
        <w:rPr>
          <w:rFonts w:eastAsia="Times New Roman" w:cs="Lucida Sans Unicode"/>
          <w:color w:val="000000"/>
          <w:lang w:eastAsia="en-AU"/>
        </w:rPr>
        <w:t xml:space="preserve">As part of the </w:t>
      </w:r>
      <w:r w:rsidRPr="00747A53">
        <w:rPr>
          <w:rFonts w:eastAsia="Times New Roman" w:cs="Lucida Sans Unicode"/>
          <w:color w:val="000000"/>
          <w:lang w:eastAsia="en-AU"/>
        </w:rPr>
        <w:t xml:space="preserve">Joint Standing Committee on the National Disability Insurance Scheme’s </w:t>
      </w:r>
      <w:r w:rsidRPr="004550EA">
        <w:rPr>
          <w:rFonts w:eastAsia="Times New Roman" w:cs="Lucida Sans Unicode"/>
          <w:color w:val="000000"/>
          <w:lang w:eastAsia="en-AU"/>
        </w:rPr>
        <w:t>review of the implementation, administration and expenditure of the National Disability Insurance Scheme (NDIS), the committee will examine the issue of affordable and appropriate accommodation for people with disabilities. The committee noted in its most recent report, that the lack of adequate accommodation can limit people’s ability to fully exercise their individual choice and control. It can also limit people’s ability to fully participate in society and live an ordinary life like any other Australian.</w:t>
      </w:r>
    </w:p>
    <w:p w:rsidR="007A4E44" w:rsidRDefault="007A4E44" w:rsidP="007A4E44">
      <w:pPr>
        <w:spacing w:after="240" w:line="210" w:lineRule="atLeast"/>
        <w:jc w:val="both"/>
        <w:textAlignment w:val="baseline"/>
        <w:rPr>
          <w:rFonts w:cs="Lucida Sans Unicode"/>
          <w:color w:val="000000"/>
          <w:shd w:val="clear" w:color="auto" w:fill="FFFFFF"/>
        </w:rPr>
      </w:pPr>
      <w:r w:rsidRPr="004550EA">
        <w:rPr>
          <w:rFonts w:eastAsia="Times New Roman" w:cs="Lucida Sans Unicode"/>
          <w:color w:val="000000"/>
          <w:lang w:eastAsia="en-AU"/>
        </w:rPr>
        <w:t>On 23 October 2015, the committee conducted a roundtable hearing in Canberra on housing. This was the first part of the committee’s inquiry into accommodation for people with disability.</w:t>
      </w:r>
      <w:r w:rsidRPr="00747A53">
        <w:rPr>
          <w:rFonts w:eastAsia="Times New Roman" w:cs="Lucida Sans Unicode"/>
          <w:color w:val="000000"/>
          <w:lang w:eastAsia="en-AU"/>
        </w:rPr>
        <w:t> </w:t>
      </w:r>
      <w:r w:rsidRPr="00747A53">
        <w:rPr>
          <w:rFonts w:cs="Lucida Sans Unicode"/>
          <w:color w:val="000000"/>
          <w:shd w:val="clear" w:color="auto" w:fill="FFFFFF"/>
        </w:rPr>
        <w:t>The committee is now calling for submissions on the issue of accommodation that address possible solutions, innovations, pilot programs and, in particular, possible funding models.</w:t>
      </w:r>
    </w:p>
    <w:p w:rsidR="00D75CA4" w:rsidRDefault="009D257A" w:rsidP="007A4E44">
      <w:pPr>
        <w:spacing w:after="240" w:line="210" w:lineRule="atLeast"/>
        <w:jc w:val="both"/>
        <w:textAlignment w:val="baseline"/>
        <w:rPr>
          <w:rFonts w:cs="Lucida Sans Unicode"/>
          <w:color w:val="000000"/>
          <w:shd w:val="clear" w:color="auto" w:fill="FFFFFF"/>
        </w:rPr>
      </w:pPr>
      <w:r>
        <w:rPr>
          <w:rFonts w:cs="Lucida Sans Unicode"/>
          <w:color w:val="000000"/>
          <w:shd w:val="clear" w:color="auto" w:fill="FFFFFF"/>
        </w:rPr>
        <w:t xml:space="preserve">QDN is aware there is </w:t>
      </w:r>
      <w:r w:rsidR="008C706F">
        <w:rPr>
          <w:rFonts w:cs="Lucida Sans Unicode"/>
          <w:color w:val="000000"/>
          <w:shd w:val="clear" w:color="auto" w:fill="FFFFFF"/>
        </w:rPr>
        <w:t>much</w:t>
      </w:r>
      <w:r>
        <w:rPr>
          <w:rFonts w:cs="Lucida Sans Unicode"/>
          <w:color w:val="000000"/>
          <w:shd w:val="clear" w:color="auto" w:fill="FFFFFF"/>
        </w:rPr>
        <w:t xml:space="preserve"> work currently happening at various levels in the housing space</w:t>
      </w:r>
      <w:r w:rsidR="00EE5251">
        <w:rPr>
          <w:rFonts w:cs="Lucida Sans Unicode"/>
          <w:color w:val="000000"/>
          <w:shd w:val="clear" w:color="auto" w:fill="FFFFFF"/>
        </w:rPr>
        <w:t xml:space="preserve">, in addition to the work being undertaken by this </w:t>
      </w:r>
      <w:r w:rsidR="00E46ACB">
        <w:rPr>
          <w:rFonts w:cs="Lucida Sans Unicode"/>
          <w:color w:val="000000"/>
          <w:shd w:val="clear" w:color="auto" w:fill="FFFFFF"/>
        </w:rPr>
        <w:t>committee</w:t>
      </w:r>
      <w:r w:rsidR="008D07A7">
        <w:rPr>
          <w:rFonts w:cs="Lucida Sans Unicode"/>
          <w:color w:val="000000"/>
          <w:shd w:val="clear" w:color="auto" w:fill="FFFFFF"/>
        </w:rPr>
        <w:t xml:space="preserve">. </w:t>
      </w:r>
      <w:r w:rsidR="00E46ACB">
        <w:rPr>
          <w:rFonts w:cs="Lucida Sans Unicode"/>
          <w:color w:val="000000"/>
          <w:shd w:val="clear" w:color="auto" w:fill="FFFFFF"/>
        </w:rPr>
        <w:t xml:space="preserve">The National Disability Strategy includes specific reference to disability housing provision and </w:t>
      </w:r>
      <w:r>
        <w:rPr>
          <w:rFonts w:cs="Lucida Sans Unicode"/>
          <w:color w:val="000000"/>
          <w:shd w:val="clear" w:color="auto" w:fill="FFFFFF"/>
        </w:rPr>
        <w:t xml:space="preserve">the National Disability Insurance Agency (NDIA) </w:t>
      </w:r>
      <w:r w:rsidR="00E46ACB">
        <w:rPr>
          <w:rFonts w:cs="Lucida Sans Unicode"/>
          <w:color w:val="000000"/>
          <w:shd w:val="clear" w:color="auto" w:fill="FFFFFF"/>
        </w:rPr>
        <w:t xml:space="preserve">is currently developing </w:t>
      </w:r>
      <w:r>
        <w:rPr>
          <w:rFonts w:cs="Lucida Sans Unicode"/>
          <w:color w:val="000000"/>
          <w:shd w:val="clear" w:color="auto" w:fill="FFFFFF"/>
        </w:rPr>
        <w:t xml:space="preserve">a pricing and payment framework for Specialist Disability Accommodation (SDA).  At a state level, the </w:t>
      </w:r>
      <w:r w:rsidR="00E46ACB">
        <w:rPr>
          <w:rFonts w:cs="Lucida Sans Unicode"/>
          <w:color w:val="000000"/>
          <w:shd w:val="clear" w:color="auto" w:fill="FFFFFF"/>
        </w:rPr>
        <w:t xml:space="preserve">Queensland </w:t>
      </w:r>
      <w:r>
        <w:rPr>
          <w:rFonts w:cs="Lucida Sans Unicode"/>
          <w:color w:val="000000"/>
          <w:shd w:val="clear" w:color="auto" w:fill="FFFFFF"/>
        </w:rPr>
        <w:t xml:space="preserve">Department of Housing and Public Works is </w:t>
      </w:r>
      <w:r w:rsidR="008D07A7">
        <w:rPr>
          <w:rFonts w:cs="Lucida Sans Unicode"/>
          <w:color w:val="000000"/>
          <w:shd w:val="clear" w:color="auto" w:fill="FFFFFF"/>
        </w:rPr>
        <w:t xml:space="preserve">currently developing a </w:t>
      </w:r>
      <w:r>
        <w:rPr>
          <w:rFonts w:cs="Lucida Sans Unicode"/>
          <w:color w:val="000000"/>
          <w:shd w:val="clear" w:color="auto" w:fill="FFFFFF"/>
        </w:rPr>
        <w:t>Housing Strategy</w:t>
      </w:r>
      <w:r w:rsidR="008D07A7">
        <w:rPr>
          <w:rFonts w:cs="Lucida Sans Unicode"/>
          <w:color w:val="000000"/>
          <w:shd w:val="clear" w:color="auto" w:fill="FFFFFF"/>
        </w:rPr>
        <w:t>, whilst</w:t>
      </w:r>
      <w:r w:rsidR="00E46ACB">
        <w:rPr>
          <w:rFonts w:cs="Lucida Sans Unicode"/>
          <w:color w:val="000000"/>
          <w:shd w:val="clear" w:color="auto" w:fill="FFFFFF"/>
        </w:rPr>
        <w:t xml:space="preserve"> also undertaking specific bodies of work around affordable and liveable housing design. </w:t>
      </w:r>
      <w:r w:rsidR="003A19AD">
        <w:rPr>
          <w:rFonts w:cs="Lucida Sans Unicode"/>
          <w:color w:val="000000"/>
          <w:shd w:val="clear" w:color="auto" w:fill="FFFFFF"/>
        </w:rPr>
        <w:t>Additionally, QDN is undertaking a housing project, referenced below.</w:t>
      </w:r>
    </w:p>
    <w:p w:rsidR="009D257A" w:rsidRPr="004550EA" w:rsidRDefault="00D75CA4" w:rsidP="007A4E44">
      <w:pPr>
        <w:spacing w:after="240" w:line="210" w:lineRule="atLeast"/>
        <w:jc w:val="both"/>
        <w:textAlignment w:val="baseline"/>
        <w:rPr>
          <w:rFonts w:eastAsia="Times New Roman" w:cs="Lucida Sans Unicode"/>
          <w:color w:val="000000"/>
          <w:lang w:eastAsia="en-AU"/>
        </w:rPr>
      </w:pPr>
      <w:r>
        <w:rPr>
          <w:rFonts w:cs="Lucida Sans Unicode"/>
          <w:color w:val="000000"/>
          <w:shd w:val="clear" w:color="auto" w:fill="FFFFFF"/>
        </w:rPr>
        <w:t xml:space="preserve">QDN stresses it </w:t>
      </w:r>
      <w:r w:rsidR="006C151F">
        <w:rPr>
          <w:rFonts w:cs="Lucida Sans Unicode"/>
          <w:color w:val="000000"/>
          <w:shd w:val="clear" w:color="auto" w:fill="FFFFFF"/>
        </w:rPr>
        <w:t xml:space="preserve">is important that these various pieces of </w:t>
      </w:r>
      <w:r w:rsidR="00E46ACB">
        <w:rPr>
          <w:rFonts w:cs="Lucida Sans Unicode"/>
          <w:color w:val="000000"/>
          <w:shd w:val="clear" w:color="auto" w:fill="FFFFFF"/>
        </w:rPr>
        <w:t xml:space="preserve">policy </w:t>
      </w:r>
      <w:r w:rsidR="006C151F">
        <w:rPr>
          <w:rFonts w:cs="Lucida Sans Unicode"/>
          <w:color w:val="000000"/>
          <w:shd w:val="clear" w:color="auto" w:fill="FFFFFF"/>
        </w:rPr>
        <w:t xml:space="preserve">work </w:t>
      </w:r>
      <w:r>
        <w:rPr>
          <w:rFonts w:cs="Lucida Sans Unicode"/>
          <w:color w:val="000000"/>
          <w:shd w:val="clear" w:color="auto" w:fill="FFFFFF"/>
        </w:rPr>
        <w:t xml:space="preserve">align to </w:t>
      </w:r>
      <w:r w:rsidR="00E46ACB">
        <w:rPr>
          <w:rFonts w:cs="Lucida Sans Unicode"/>
          <w:color w:val="000000"/>
          <w:shd w:val="clear" w:color="auto" w:fill="FFFFFF"/>
        </w:rPr>
        <w:t xml:space="preserve">deliver an integrated approach to </w:t>
      </w:r>
      <w:r>
        <w:rPr>
          <w:rFonts w:cs="Lucida Sans Unicode"/>
          <w:color w:val="000000"/>
          <w:shd w:val="clear" w:color="auto" w:fill="FFFFFF"/>
        </w:rPr>
        <w:t xml:space="preserve">accessible, affordable and safe </w:t>
      </w:r>
      <w:r w:rsidR="00E46ACB">
        <w:rPr>
          <w:rFonts w:cs="Lucida Sans Unicode"/>
          <w:color w:val="000000"/>
          <w:shd w:val="clear" w:color="auto" w:fill="FFFFFF"/>
        </w:rPr>
        <w:t xml:space="preserve">housing </w:t>
      </w:r>
      <w:r>
        <w:rPr>
          <w:rFonts w:cs="Lucida Sans Unicode"/>
          <w:color w:val="000000"/>
          <w:shd w:val="clear" w:color="auto" w:fill="FFFFFF"/>
        </w:rPr>
        <w:t xml:space="preserve">for people with disability. </w:t>
      </w:r>
    </w:p>
    <w:p w:rsidR="005F37A1" w:rsidRDefault="00D75CA4" w:rsidP="002F707F">
      <w:pPr>
        <w:pStyle w:val="Heading3"/>
        <w:jc w:val="both"/>
      </w:pPr>
      <w:bookmarkStart w:id="25" w:name="_Toc445910174"/>
      <w:r>
        <w:t xml:space="preserve">QDN </w:t>
      </w:r>
      <w:r w:rsidR="005F37A1">
        <w:t>Context</w:t>
      </w:r>
      <w:bookmarkEnd w:id="25"/>
      <w:r w:rsidR="005F37A1">
        <w:t xml:space="preserve"> </w:t>
      </w:r>
    </w:p>
    <w:p w:rsidR="008D07A7" w:rsidRDefault="005F37A1" w:rsidP="002F707F">
      <w:pPr>
        <w:jc w:val="both"/>
      </w:pPr>
      <w:r w:rsidRPr="00CA1FA6">
        <w:t>Housing is a key issue for QDN members</w:t>
      </w:r>
      <w:r w:rsidR="00D75CA4">
        <w:t xml:space="preserve">. </w:t>
      </w:r>
      <w:r w:rsidR="008D07A7" w:rsidRPr="00BF5961">
        <w:t>QDN believes people with disability having access to housing that is both accessible and affordable, is fundamental to the success of the NDIS, particularly in regard to achievement of the key NDIS principles of choice and control and economic and social participation.</w:t>
      </w:r>
      <w:r w:rsidR="008D07A7">
        <w:t xml:space="preserve"> </w:t>
      </w:r>
    </w:p>
    <w:p w:rsidR="00C16B61" w:rsidRDefault="008D07A7" w:rsidP="002F707F">
      <w:pPr>
        <w:jc w:val="both"/>
        <w:rPr>
          <w:rFonts w:cs="Times New Roman"/>
        </w:rPr>
      </w:pPr>
      <w:r>
        <w:t xml:space="preserve">Recently, </w:t>
      </w:r>
      <w:r w:rsidR="00D75CA4">
        <w:t xml:space="preserve">QDN has developed a </w:t>
      </w:r>
      <w:r>
        <w:t xml:space="preserve">housing </w:t>
      </w:r>
      <w:r w:rsidR="00D75CA4">
        <w:t xml:space="preserve">vision and four </w:t>
      </w:r>
      <w:r>
        <w:t xml:space="preserve">key principles to facilitate a conversation with government and community around the provision of accessible, affordable housing.  Additionally, </w:t>
      </w:r>
      <w:r w:rsidR="00D75CA4">
        <w:t xml:space="preserve">QDN has entered into a partnership with Griffith University and National Shelter to develop a position statement on housing for people with disability that </w:t>
      </w:r>
      <w:r w:rsidR="00D75CA4" w:rsidRPr="002767FB">
        <w:t>facilitates the</w:t>
      </w:r>
      <w:r w:rsidR="00D75CA4">
        <w:t>ir</w:t>
      </w:r>
      <w:r w:rsidR="00D75CA4" w:rsidRPr="002767FB">
        <w:t xml:space="preserve"> independence, social and economic participation and </w:t>
      </w:r>
      <w:r w:rsidR="00D75CA4" w:rsidRPr="002767FB">
        <w:rPr>
          <w:rFonts w:cs="Times New Roman"/>
        </w:rPr>
        <w:t xml:space="preserve">full </w:t>
      </w:r>
      <w:r w:rsidR="00D75CA4" w:rsidRPr="002767FB">
        <w:rPr>
          <w:rFonts w:cs="Times New Roman"/>
        </w:rPr>
        <w:lastRenderedPageBreak/>
        <w:t>inclusion in the mainstream community</w:t>
      </w:r>
      <w:r w:rsidR="00D75CA4">
        <w:rPr>
          <w:rFonts w:cs="Times New Roman"/>
        </w:rPr>
        <w:t xml:space="preserve">. We are happy to forward the outcomes of this project to the committee when completed, expected to be </w:t>
      </w:r>
      <w:r w:rsidR="00BF5961">
        <w:rPr>
          <w:rFonts w:cs="Times New Roman"/>
        </w:rPr>
        <w:t xml:space="preserve">early August, </w:t>
      </w:r>
      <w:r w:rsidR="00D75CA4">
        <w:rPr>
          <w:rFonts w:cs="Times New Roman"/>
        </w:rPr>
        <w:t>2016</w:t>
      </w:r>
      <w:r w:rsidR="005F37A1" w:rsidRPr="00CA1FA6">
        <w:t xml:space="preserve">.  </w:t>
      </w:r>
    </w:p>
    <w:p w:rsidR="00BB689D" w:rsidRPr="00923CF4" w:rsidRDefault="00BB689D" w:rsidP="002F707F">
      <w:pPr>
        <w:pStyle w:val="Heading4"/>
        <w:jc w:val="both"/>
      </w:pPr>
      <w:bookmarkStart w:id="26" w:name="_Toc445910175"/>
      <w:bookmarkStart w:id="27" w:name="_Toc437346358"/>
      <w:r>
        <w:t>QDN’s housing vision</w:t>
      </w:r>
      <w:bookmarkEnd w:id="26"/>
      <w:r>
        <w:t xml:space="preserve"> </w:t>
      </w:r>
      <w:bookmarkEnd w:id="27"/>
    </w:p>
    <w:p w:rsidR="00DF724F" w:rsidRDefault="00BB689D" w:rsidP="00DF724F">
      <w:pPr>
        <w:jc w:val="both"/>
      </w:pPr>
      <w:r>
        <w:rPr>
          <w:rFonts w:cs="Arial"/>
        </w:rPr>
        <w:t>QDN believes people with disability have the same right as other citizens to have appropriate and relevant housing options and choices available to them that are inclusive, accessible, safe and affordable.</w:t>
      </w:r>
      <w:r w:rsidR="00DF724F">
        <w:rPr>
          <w:rFonts w:cs="Arial"/>
        </w:rPr>
        <w:t xml:space="preserve"> This right is enshrined </w:t>
      </w:r>
      <w:r w:rsidR="00DF724F">
        <w:t>in the United Nations Convention on the Rights of Persons with Disability (CRPD), 2006 and the National Disability Strategy (2011) which states people with disability have the right to:</w:t>
      </w:r>
    </w:p>
    <w:p w:rsidR="00DF724F" w:rsidRDefault="00DF724F" w:rsidP="00123958">
      <w:pPr>
        <w:pStyle w:val="ListParagraph"/>
        <w:numPr>
          <w:ilvl w:val="0"/>
          <w:numId w:val="36"/>
        </w:numPr>
        <w:jc w:val="both"/>
      </w:pPr>
      <w:r>
        <w:t>An adequate standard of living with adequate food, clothing and housing and to the continuous improvement of living conditions; and</w:t>
      </w:r>
    </w:p>
    <w:p w:rsidR="00DF724F" w:rsidRDefault="00DF724F" w:rsidP="00123958">
      <w:pPr>
        <w:pStyle w:val="ListParagraph"/>
        <w:numPr>
          <w:ilvl w:val="0"/>
          <w:numId w:val="36"/>
        </w:numPr>
        <w:jc w:val="both"/>
      </w:pPr>
      <w:r>
        <w:t>Choose their place of residence: where and with whom they live on an equal basis with others</w:t>
      </w:r>
    </w:p>
    <w:p w:rsidR="00DF724F" w:rsidRDefault="00DF724F" w:rsidP="00123958">
      <w:pPr>
        <w:pStyle w:val="ListParagraph"/>
        <w:numPr>
          <w:ilvl w:val="0"/>
          <w:numId w:val="36"/>
        </w:numPr>
        <w:jc w:val="both"/>
      </w:pPr>
      <w:r>
        <w:t>Access to affordable and secure housing across all tenures</w:t>
      </w:r>
    </w:p>
    <w:p w:rsidR="002A3F86" w:rsidRDefault="00BB689D" w:rsidP="002F707F">
      <w:pPr>
        <w:tabs>
          <w:tab w:val="left" w:pos="6804"/>
        </w:tabs>
        <w:spacing w:before="40" w:afterLines="40" w:after="96"/>
        <w:ind w:right="-22"/>
        <w:jc w:val="both"/>
        <w:rPr>
          <w:iCs/>
        </w:rPr>
      </w:pPr>
      <w:r>
        <w:rPr>
          <w:iCs/>
        </w:rPr>
        <w:t>T</w:t>
      </w:r>
      <w:r w:rsidR="002A3F86" w:rsidRPr="00D80B22">
        <w:rPr>
          <w:iCs/>
        </w:rPr>
        <w:t>his means that the living situations of people with disability should be similar to those on offer to the general community. The differences would only emerge in the areas of home modification and in the support that may be required to live in a home of one’s own.  QDN believes people with disability have the right to establish homes that are their own private spaces, reflective of their individual personal tastes and choices that embody a place to call home.</w:t>
      </w:r>
    </w:p>
    <w:p w:rsidR="002A3F86" w:rsidRPr="00D80B22" w:rsidRDefault="002A3F86" w:rsidP="002F707F">
      <w:pPr>
        <w:tabs>
          <w:tab w:val="left" w:pos="6804"/>
        </w:tabs>
        <w:spacing w:before="40" w:afterLines="40" w:after="96"/>
        <w:ind w:right="-22"/>
        <w:jc w:val="both"/>
        <w:rPr>
          <w:iCs/>
        </w:rPr>
      </w:pPr>
      <w:r w:rsidRPr="00D80B22">
        <w:rPr>
          <w:iCs/>
        </w:rPr>
        <w:t xml:space="preserve">To make the vision a reality QDN has developed four key principles, detailed below, to guide the provision of housing across the public and private sectors, going forward.  </w:t>
      </w:r>
    </w:p>
    <w:p w:rsidR="00BB689D" w:rsidRDefault="00BB689D" w:rsidP="002F707F">
      <w:pPr>
        <w:pStyle w:val="Heading4"/>
        <w:jc w:val="both"/>
      </w:pPr>
      <w:bookmarkStart w:id="28" w:name="_Toc445910176"/>
      <w:r>
        <w:t>Housing Principles</w:t>
      </w:r>
      <w:bookmarkEnd w:id="28"/>
    </w:p>
    <w:p w:rsidR="002A3F86" w:rsidRDefault="002A3F86" w:rsidP="002F707F">
      <w:pPr>
        <w:tabs>
          <w:tab w:val="left" w:pos="6804"/>
        </w:tabs>
        <w:spacing w:before="40" w:afterLines="40" w:after="96"/>
        <w:ind w:right="-22"/>
        <w:jc w:val="both"/>
        <w:rPr>
          <w:iCs/>
        </w:rPr>
      </w:pPr>
      <w:r w:rsidRPr="00116DB3">
        <w:rPr>
          <w:iCs/>
        </w:rPr>
        <w:t>QDN’s four Housing Principles include:</w:t>
      </w:r>
    </w:p>
    <w:p w:rsidR="00BB689D" w:rsidRPr="003B7F53" w:rsidRDefault="00BB689D" w:rsidP="00123958">
      <w:pPr>
        <w:pStyle w:val="ListParagraph"/>
        <w:numPr>
          <w:ilvl w:val="0"/>
          <w:numId w:val="37"/>
        </w:numPr>
        <w:tabs>
          <w:tab w:val="left" w:pos="6804"/>
        </w:tabs>
        <w:spacing w:before="40" w:afterLines="40" w:after="96"/>
        <w:ind w:right="-22"/>
        <w:jc w:val="both"/>
        <w:rPr>
          <w:iCs/>
        </w:rPr>
      </w:pPr>
      <w:r w:rsidRPr="003B7F53">
        <w:rPr>
          <w:b/>
          <w:iCs/>
        </w:rPr>
        <w:t>Rights:</w:t>
      </w:r>
      <w:r w:rsidRPr="003B7F53">
        <w:rPr>
          <w:iCs/>
        </w:rPr>
        <w:t xml:space="preserve"> People with disability have the right to access quality housing and are assisted to exercise their rights when needed.</w:t>
      </w:r>
    </w:p>
    <w:p w:rsidR="00BB689D" w:rsidRPr="003B7F53" w:rsidRDefault="00BB689D" w:rsidP="00123958">
      <w:pPr>
        <w:pStyle w:val="ListParagraph"/>
        <w:numPr>
          <w:ilvl w:val="0"/>
          <w:numId w:val="37"/>
        </w:numPr>
        <w:tabs>
          <w:tab w:val="left" w:pos="6804"/>
        </w:tabs>
        <w:spacing w:before="40" w:afterLines="40" w:after="96"/>
        <w:ind w:right="-22"/>
        <w:jc w:val="both"/>
        <w:rPr>
          <w:iCs/>
        </w:rPr>
      </w:pPr>
      <w:r w:rsidRPr="003B7F53">
        <w:rPr>
          <w:b/>
          <w:iCs/>
        </w:rPr>
        <w:t>Choice:</w:t>
      </w:r>
      <w:r w:rsidRPr="003B7F53">
        <w:rPr>
          <w:iCs/>
        </w:rPr>
        <w:t xml:space="preserve"> People with disability choose where, how and with whom they live.</w:t>
      </w:r>
    </w:p>
    <w:p w:rsidR="00BB689D" w:rsidRPr="003B7F53" w:rsidRDefault="00BB689D" w:rsidP="00123958">
      <w:pPr>
        <w:pStyle w:val="ListParagraph"/>
        <w:numPr>
          <w:ilvl w:val="0"/>
          <w:numId w:val="37"/>
        </w:numPr>
        <w:tabs>
          <w:tab w:val="left" w:pos="6804"/>
        </w:tabs>
        <w:spacing w:before="40" w:afterLines="40" w:after="96"/>
        <w:ind w:right="-22"/>
        <w:jc w:val="both"/>
        <w:rPr>
          <w:iCs/>
        </w:rPr>
      </w:pPr>
      <w:r w:rsidRPr="003B7F53">
        <w:rPr>
          <w:b/>
          <w:iCs/>
        </w:rPr>
        <w:t>Inclusion:</w:t>
      </w:r>
      <w:r w:rsidRPr="003B7F53">
        <w:rPr>
          <w:iCs/>
        </w:rPr>
        <w:t xml:space="preserve"> People with disability access appropriate housing which enhances independence and social </w:t>
      </w:r>
      <w:r w:rsidR="003B7F53" w:rsidRPr="003B7F53">
        <w:rPr>
          <w:iCs/>
        </w:rPr>
        <w:t>and economic participation in family and community life.</w:t>
      </w:r>
    </w:p>
    <w:p w:rsidR="003B7F53" w:rsidRDefault="003B7F53" w:rsidP="00123958">
      <w:pPr>
        <w:pStyle w:val="ListParagraph"/>
        <w:numPr>
          <w:ilvl w:val="0"/>
          <w:numId w:val="37"/>
        </w:numPr>
        <w:tabs>
          <w:tab w:val="left" w:pos="6804"/>
        </w:tabs>
        <w:spacing w:before="40" w:afterLines="40" w:after="96"/>
        <w:ind w:right="-22"/>
        <w:jc w:val="both"/>
        <w:rPr>
          <w:iCs/>
        </w:rPr>
      </w:pPr>
      <w:r w:rsidRPr="003B7F53">
        <w:rPr>
          <w:b/>
          <w:iCs/>
        </w:rPr>
        <w:t>Control:</w:t>
      </w:r>
      <w:r w:rsidRPr="003B7F53">
        <w:rPr>
          <w:iCs/>
        </w:rPr>
        <w:t xml:space="preserve"> Management of housing is kept separate from the provision of support.</w:t>
      </w:r>
    </w:p>
    <w:p w:rsidR="006F1595" w:rsidRDefault="006F1595" w:rsidP="002F707F">
      <w:pPr>
        <w:pStyle w:val="Heading4"/>
        <w:jc w:val="both"/>
      </w:pPr>
      <w:bookmarkStart w:id="29" w:name="_Toc445910177"/>
      <w:r>
        <w:t>Applying the</w:t>
      </w:r>
      <w:r w:rsidR="00B43FF6">
        <w:t>se</w:t>
      </w:r>
      <w:r>
        <w:t xml:space="preserve"> principles to </w:t>
      </w:r>
      <w:r w:rsidR="007A4E44">
        <w:t>the Joint Standing Committee’s examination of Accommodation for people with disability and the NDIS</w:t>
      </w:r>
      <w:bookmarkEnd w:id="29"/>
      <w:r w:rsidR="007A4E44">
        <w:t xml:space="preserve">  </w:t>
      </w:r>
    </w:p>
    <w:p w:rsidR="006F1595" w:rsidRDefault="007A4E44" w:rsidP="002F707F">
      <w:pPr>
        <w:tabs>
          <w:tab w:val="left" w:pos="6804"/>
        </w:tabs>
        <w:ind w:right="-22"/>
        <w:jc w:val="both"/>
      </w:pPr>
      <w:r>
        <w:t xml:space="preserve">QDN believes our housing principles can be used as </w:t>
      </w:r>
      <w:r w:rsidR="009E6582">
        <w:t xml:space="preserve">a </w:t>
      </w:r>
      <w:r>
        <w:t xml:space="preserve">guideline for the Joint Standing Committee to assess the effectiveness of accommodation for people with disability so that it </w:t>
      </w:r>
      <w:r w:rsidR="006F1595">
        <w:t>reflects community norms and standards</w:t>
      </w:r>
      <w:r w:rsidR="00E722FE">
        <w:t xml:space="preserve">, </w:t>
      </w:r>
      <w:r w:rsidR="00944267">
        <w:t>ensures</w:t>
      </w:r>
      <w:r w:rsidR="00E4419F">
        <w:t xml:space="preserve"> </w:t>
      </w:r>
      <w:r>
        <w:t>people residing in accommodation for people with disability have</w:t>
      </w:r>
      <w:r w:rsidR="00E4419F">
        <w:t xml:space="preserve"> their rights and choices upheld</w:t>
      </w:r>
      <w:r w:rsidR="00E722FE">
        <w:t xml:space="preserve">, </w:t>
      </w:r>
      <w:r w:rsidR="00E4419F">
        <w:t xml:space="preserve">are included in the community </w:t>
      </w:r>
      <w:r w:rsidR="00E4419F">
        <w:lastRenderedPageBreak/>
        <w:t xml:space="preserve">and </w:t>
      </w:r>
      <w:r w:rsidR="0021410F">
        <w:t xml:space="preserve">have </w:t>
      </w:r>
      <w:r w:rsidR="00E722FE">
        <w:t xml:space="preserve">their accommodation safeguarded through the separation </w:t>
      </w:r>
      <w:r w:rsidR="001B2756">
        <w:t>of the</w:t>
      </w:r>
      <w:r w:rsidR="00E4419F">
        <w:t xml:space="preserve"> management of </w:t>
      </w:r>
      <w:r w:rsidR="00E722FE">
        <w:t xml:space="preserve">their </w:t>
      </w:r>
      <w:r w:rsidR="00E4419F">
        <w:t xml:space="preserve">housing </w:t>
      </w:r>
      <w:r w:rsidR="001B2756">
        <w:t xml:space="preserve">from </w:t>
      </w:r>
      <w:r w:rsidR="00306AAA">
        <w:t xml:space="preserve">the </w:t>
      </w:r>
      <w:r w:rsidR="001B2756">
        <w:t>provision</w:t>
      </w:r>
      <w:r w:rsidR="00E4419F">
        <w:t xml:space="preserve"> of support.  </w:t>
      </w:r>
      <w:r w:rsidR="006F1595">
        <w:t xml:space="preserve"> </w:t>
      </w:r>
    </w:p>
    <w:p w:rsidR="002F34D6" w:rsidRDefault="00E722FE" w:rsidP="002F707F">
      <w:pPr>
        <w:jc w:val="both"/>
      </w:pPr>
      <w:bookmarkStart w:id="30" w:name="_Toc437265280"/>
      <w:bookmarkStart w:id="31" w:name="_Toc437346356"/>
      <w:bookmarkEnd w:id="21"/>
      <w:bookmarkEnd w:id="22"/>
      <w:bookmarkEnd w:id="23"/>
      <w:r>
        <w:t xml:space="preserve">Overall, </w:t>
      </w:r>
      <w:r w:rsidR="002F34D6">
        <w:t xml:space="preserve">QDN believes </w:t>
      </w:r>
      <w:r w:rsidR="007E6BFC">
        <w:t xml:space="preserve">accommodation for people with disability </w:t>
      </w:r>
      <w:r w:rsidR="002F34D6">
        <w:t xml:space="preserve">needs to </w:t>
      </w:r>
      <w:r w:rsidR="00CA62F2">
        <w:t xml:space="preserve">encompass the following </w:t>
      </w:r>
      <w:r w:rsidR="002F34D6">
        <w:t>elements:</w:t>
      </w:r>
    </w:p>
    <w:p w:rsidR="001D2D1C" w:rsidRDefault="001D2D1C" w:rsidP="00123958">
      <w:pPr>
        <w:pStyle w:val="ListParagraph"/>
        <w:numPr>
          <w:ilvl w:val="0"/>
          <w:numId w:val="38"/>
        </w:numPr>
        <w:jc w:val="both"/>
      </w:pPr>
      <w:r>
        <w:t>A person having the right to choose quality housing that fits with their lifestyle choices and community preferences</w:t>
      </w:r>
      <w:r w:rsidR="00306AAA">
        <w:t xml:space="preserve"> and is</w:t>
      </w:r>
      <w:r w:rsidR="00B82F79">
        <w:t xml:space="preserve"> </w:t>
      </w:r>
      <w:r>
        <w:t xml:space="preserve">based on </w:t>
      </w:r>
      <w:r w:rsidR="00CA62F2">
        <w:t>individual</w:t>
      </w:r>
      <w:r>
        <w:t xml:space="preserve"> needs.</w:t>
      </w:r>
    </w:p>
    <w:p w:rsidR="001D2D1C" w:rsidRDefault="001D2D1C" w:rsidP="00123958">
      <w:pPr>
        <w:pStyle w:val="ListParagraph"/>
        <w:numPr>
          <w:ilvl w:val="0"/>
          <w:numId w:val="38"/>
        </w:numPr>
        <w:jc w:val="both"/>
      </w:pPr>
      <w:r>
        <w:t xml:space="preserve">Housing options which enhance a person’s social and economic participation in community </w:t>
      </w:r>
      <w:r w:rsidR="00CA62F2">
        <w:t>with the person having choice and control around their housin</w:t>
      </w:r>
      <w:r w:rsidR="00A078B3">
        <w:t>g</w:t>
      </w:r>
      <w:r w:rsidR="00CA62F2">
        <w:t xml:space="preserve"> </w:t>
      </w:r>
      <w:r w:rsidR="002C0AF9">
        <w:t>option</w:t>
      </w:r>
      <w:r w:rsidR="00306AAA">
        <w:t xml:space="preserve">, to maximise their social inclusion, </w:t>
      </w:r>
      <w:r w:rsidR="00CA62F2">
        <w:t xml:space="preserve">rather than the option being decided </w:t>
      </w:r>
      <w:r w:rsidR="002C0AF9">
        <w:t>upon because of its cost effectiveness</w:t>
      </w:r>
      <w:r>
        <w:t xml:space="preserve">. </w:t>
      </w:r>
    </w:p>
    <w:p w:rsidR="001D2D1C" w:rsidRDefault="001D2D1C" w:rsidP="00123958">
      <w:pPr>
        <w:pStyle w:val="ListParagraph"/>
        <w:numPr>
          <w:ilvl w:val="0"/>
          <w:numId w:val="38"/>
        </w:numPr>
        <w:jc w:val="both"/>
      </w:pPr>
      <w:r>
        <w:t>Mechanisms that empower people to choose where they live and with whom</w:t>
      </w:r>
      <w:r w:rsidR="00306AAA">
        <w:t xml:space="preserve"> they reside. </w:t>
      </w:r>
      <w:r>
        <w:t xml:space="preserve"> </w:t>
      </w:r>
    </w:p>
    <w:p w:rsidR="00410130" w:rsidRDefault="00306AAA" w:rsidP="00123958">
      <w:pPr>
        <w:pStyle w:val="ListParagraph"/>
        <w:numPr>
          <w:ilvl w:val="0"/>
          <w:numId w:val="38"/>
        </w:numPr>
        <w:jc w:val="both"/>
      </w:pPr>
      <w:r>
        <w:t xml:space="preserve">Clear </w:t>
      </w:r>
      <w:r w:rsidR="002C0AF9">
        <w:t>statements in regard to the s</w:t>
      </w:r>
      <w:r w:rsidR="00410130">
        <w:t xml:space="preserve">eparation of </w:t>
      </w:r>
      <w:r w:rsidR="00A078B3">
        <w:t xml:space="preserve">the management of </w:t>
      </w:r>
      <w:r w:rsidR="00410130">
        <w:t>housing and support</w:t>
      </w:r>
      <w:r w:rsidR="00A078B3">
        <w:t>, to reflect the differences</w:t>
      </w:r>
      <w:r w:rsidR="001D2D1C">
        <w:t xml:space="preserve"> in</w:t>
      </w:r>
      <w:r w:rsidR="00A078B3">
        <w:t xml:space="preserve"> the landlord and </w:t>
      </w:r>
      <w:r w:rsidR="003159D7">
        <w:t xml:space="preserve">support service </w:t>
      </w:r>
      <w:r w:rsidR="00A078B3">
        <w:t>roles</w:t>
      </w:r>
      <w:r w:rsidR="003159D7">
        <w:t xml:space="preserve">, </w:t>
      </w:r>
      <w:r w:rsidR="002C0AF9">
        <w:t xml:space="preserve">to </w:t>
      </w:r>
      <w:r w:rsidR="00410130">
        <w:t xml:space="preserve">be </w:t>
      </w:r>
      <w:r>
        <w:t xml:space="preserve">explicitly </w:t>
      </w:r>
      <w:r w:rsidR="00410130">
        <w:t xml:space="preserve">stated as </w:t>
      </w:r>
      <w:r>
        <w:t>a reflection of ‘normal’</w:t>
      </w:r>
      <w:r w:rsidR="00B82F79">
        <w:t xml:space="preserve"> </w:t>
      </w:r>
      <w:r>
        <w:t>community practise and as a safeguard around the rights of people with disability</w:t>
      </w:r>
      <w:r w:rsidR="003159D7">
        <w:t>.</w:t>
      </w:r>
    </w:p>
    <w:p w:rsidR="003159D7" w:rsidRDefault="00A078B3" w:rsidP="00123958">
      <w:pPr>
        <w:pStyle w:val="ListParagraph"/>
        <w:numPr>
          <w:ilvl w:val="0"/>
          <w:numId w:val="38"/>
        </w:numPr>
        <w:jc w:val="both"/>
      </w:pPr>
      <w:r>
        <w:t xml:space="preserve">Strategies to promote and fund </w:t>
      </w:r>
      <w:r w:rsidR="00410130">
        <w:t xml:space="preserve">a </w:t>
      </w:r>
      <w:r w:rsidR="00306AAA">
        <w:t xml:space="preserve">diverse </w:t>
      </w:r>
      <w:r w:rsidR="00410130">
        <w:t>range of innovative</w:t>
      </w:r>
      <w:r w:rsidR="00306AAA">
        <w:t>,</w:t>
      </w:r>
      <w:r w:rsidR="00410130">
        <w:t xml:space="preserve"> </w:t>
      </w:r>
      <w:r w:rsidR="0021410F">
        <w:t xml:space="preserve">community based </w:t>
      </w:r>
      <w:r>
        <w:t xml:space="preserve">housing </w:t>
      </w:r>
      <w:r w:rsidR="00410130">
        <w:t xml:space="preserve">options </w:t>
      </w:r>
      <w:r w:rsidR="0021410F">
        <w:t>targeted to the specific needs of people with disability who have high and complex support needs</w:t>
      </w:r>
      <w:r w:rsidR="003159D7">
        <w:t>.</w:t>
      </w:r>
      <w:r w:rsidR="0021410F">
        <w:t xml:space="preserve"> </w:t>
      </w:r>
    </w:p>
    <w:p w:rsidR="00760470" w:rsidRPr="00760470" w:rsidRDefault="00760470" w:rsidP="00760470">
      <w:pPr>
        <w:pStyle w:val="Heading3"/>
        <w:rPr>
          <w:rStyle w:val="Heading4Char"/>
          <w:rFonts w:eastAsiaTheme="minorHAnsi" w:cstheme="minorBidi"/>
          <w:b/>
          <w:bCs w:val="0"/>
          <w:iCs w:val="0"/>
          <w:sz w:val="36"/>
          <w:szCs w:val="28"/>
        </w:rPr>
      </w:pPr>
      <w:bookmarkStart w:id="32" w:name="_Toc445910178"/>
      <w:r w:rsidRPr="00760470">
        <w:rPr>
          <w:rStyle w:val="Heading4Char"/>
          <w:rFonts w:eastAsiaTheme="minorHAnsi" w:cstheme="minorBidi"/>
          <w:b/>
          <w:bCs w:val="0"/>
          <w:iCs w:val="0"/>
          <w:sz w:val="36"/>
          <w:szCs w:val="28"/>
        </w:rPr>
        <w:t>Possible Solutions</w:t>
      </w:r>
      <w:bookmarkEnd w:id="32"/>
    </w:p>
    <w:p w:rsidR="0021410F" w:rsidRDefault="00760470" w:rsidP="001D2D1C">
      <w:pPr>
        <w:jc w:val="both"/>
        <w:rPr>
          <w:rStyle w:val="Heading4Char"/>
        </w:rPr>
      </w:pPr>
      <w:bookmarkStart w:id="33" w:name="_Toc445910179"/>
      <w:r>
        <w:rPr>
          <w:rStyle w:val="Heading4Char"/>
        </w:rPr>
        <w:t>Innovative a</w:t>
      </w:r>
      <w:r w:rsidR="007E6BFC">
        <w:rPr>
          <w:rStyle w:val="Heading4Char"/>
        </w:rPr>
        <w:t>ccommodation models</w:t>
      </w:r>
      <w:bookmarkEnd w:id="33"/>
      <w:r w:rsidR="007E6BFC">
        <w:rPr>
          <w:rStyle w:val="Heading4Char"/>
        </w:rPr>
        <w:t xml:space="preserve"> </w:t>
      </w:r>
    </w:p>
    <w:p w:rsidR="00BF5961" w:rsidRDefault="00C761D2" w:rsidP="00BF5961">
      <w:bookmarkStart w:id="34" w:name="_Toc444778764"/>
      <w:bookmarkStart w:id="35" w:name="_Toc444779262"/>
      <w:bookmarkStart w:id="36" w:name="_Toc445204921"/>
      <w:bookmarkStart w:id="37" w:name="_Toc445904149"/>
      <w:bookmarkStart w:id="38" w:name="_Toc445910180"/>
      <w:r>
        <w:rPr>
          <w:rStyle w:val="Heading4Char"/>
          <w:b w:val="0"/>
          <w:color w:val="auto"/>
        </w:rPr>
        <w:t xml:space="preserve">QDN members are concerned about </w:t>
      </w:r>
      <w:r w:rsidR="007E6BFC">
        <w:rPr>
          <w:rStyle w:val="Heading4Char"/>
          <w:b w:val="0"/>
          <w:color w:val="auto"/>
        </w:rPr>
        <w:t xml:space="preserve">possible </w:t>
      </w:r>
      <w:r>
        <w:rPr>
          <w:rStyle w:val="Heading4Char"/>
          <w:b w:val="0"/>
          <w:color w:val="auto"/>
        </w:rPr>
        <w:t>assumption</w:t>
      </w:r>
      <w:r w:rsidR="007E6BFC">
        <w:rPr>
          <w:rStyle w:val="Heading4Char"/>
          <w:b w:val="0"/>
          <w:color w:val="auto"/>
        </w:rPr>
        <w:t>s</w:t>
      </w:r>
      <w:r w:rsidR="000C067A">
        <w:rPr>
          <w:rStyle w:val="Heading4Char"/>
          <w:b w:val="0"/>
          <w:color w:val="auto"/>
        </w:rPr>
        <w:t xml:space="preserve"> that may exist which reinforce beliefs</w:t>
      </w:r>
      <w:r>
        <w:rPr>
          <w:rStyle w:val="Heading4Char"/>
          <w:b w:val="0"/>
          <w:color w:val="auto"/>
        </w:rPr>
        <w:t xml:space="preserve"> that </w:t>
      </w:r>
      <w:r w:rsidR="007E6BFC">
        <w:rPr>
          <w:rStyle w:val="Heading4Char"/>
          <w:b w:val="0"/>
          <w:color w:val="auto"/>
        </w:rPr>
        <w:t xml:space="preserve">particular </w:t>
      </w:r>
      <w:r>
        <w:rPr>
          <w:rStyle w:val="Heading4Char"/>
          <w:b w:val="0"/>
          <w:color w:val="auto"/>
        </w:rPr>
        <w:t>group</w:t>
      </w:r>
      <w:r w:rsidR="007E6BFC">
        <w:rPr>
          <w:rStyle w:val="Heading4Char"/>
          <w:b w:val="0"/>
          <w:color w:val="auto"/>
        </w:rPr>
        <w:t>s of people with disability</w:t>
      </w:r>
      <w:r>
        <w:rPr>
          <w:rStyle w:val="Heading4Char"/>
          <w:b w:val="0"/>
          <w:color w:val="auto"/>
        </w:rPr>
        <w:t xml:space="preserve"> </w:t>
      </w:r>
      <w:r w:rsidR="00306AAA">
        <w:rPr>
          <w:rStyle w:val="Heading4Char"/>
          <w:b w:val="0"/>
          <w:color w:val="auto"/>
        </w:rPr>
        <w:t xml:space="preserve">need to be </w:t>
      </w:r>
      <w:r w:rsidR="00E01F0D">
        <w:rPr>
          <w:rStyle w:val="Heading4Char"/>
          <w:b w:val="0"/>
          <w:color w:val="auto"/>
        </w:rPr>
        <w:t xml:space="preserve">mainly </w:t>
      </w:r>
      <w:r>
        <w:rPr>
          <w:rStyle w:val="Heading4Char"/>
          <w:b w:val="0"/>
          <w:color w:val="auto"/>
        </w:rPr>
        <w:t>supported in group home arrangements</w:t>
      </w:r>
      <w:r w:rsidR="00306AAA">
        <w:rPr>
          <w:rStyle w:val="Heading4Char"/>
          <w:b w:val="0"/>
          <w:color w:val="auto"/>
        </w:rPr>
        <w:t>, because the high cost of their support arrangements needs to be met via group living situations which allows for the pooling of some group support hours to maximise cost efficiencies</w:t>
      </w:r>
      <w:r>
        <w:rPr>
          <w:rStyle w:val="Heading4Char"/>
          <w:b w:val="0"/>
          <w:color w:val="auto"/>
        </w:rPr>
        <w:t>.</w:t>
      </w:r>
      <w:bookmarkEnd w:id="34"/>
      <w:bookmarkEnd w:id="35"/>
      <w:bookmarkEnd w:id="36"/>
      <w:bookmarkEnd w:id="37"/>
      <w:bookmarkEnd w:id="38"/>
      <w:r>
        <w:rPr>
          <w:rStyle w:val="Heading4Char"/>
          <w:b w:val="0"/>
          <w:color w:val="auto"/>
        </w:rPr>
        <w:t xml:space="preserve"> </w:t>
      </w:r>
      <w:r>
        <w:rPr>
          <w:rStyle w:val="Heading4Char"/>
        </w:rPr>
        <w:t xml:space="preserve">  </w:t>
      </w:r>
      <w:r w:rsidRPr="00C761D2">
        <w:t xml:space="preserve">QDN </w:t>
      </w:r>
      <w:r w:rsidR="00D63A58" w:rsidRPr="00C761D2">
        <w:t xml:space="preserve">members </w:t>
      </w:r>
      <w:r w:rsidR="00E01F0D">
        <w:t xml:space="preserve">reinforced </w:t>
      </w:r>
      <w:r w:rsidR="0029620B">
        <w:t>that a range of innovative housing options currently exist which cater for more individualised housing options</w:t>
      </w:r>
      <w:r w:rsidR="00BF5961">
        <w:t xml:space="preserve">. These innovative options have </w:t>
      </w:r>
      <w:r w:rsidR="0029620B">
        <w:t>support models that are both individualised and cost effective.</w:t>
      </w:r>
      <w:bookmarkStart w:id="39" w:name="_Toc445904150"/>
      <w:bookmarkStart w:id="40" w:name="_Toc445910181"/>
    </w:p>
    <w:p w:rsidR="0094563F" w:rsidRPr="00BF5961" w:rsidRDefault="0029620B" w:rsidP="00BF5961">
      <w:r w:rsidRPr="002F27EB">
        <w:t xml:space="preserve">QDN draws the </w:t>
      </w:r>
      <w:r w:rsidR="0094563F" w:rsidRPr="002F27EB">
        <w:t xml:space="preserve">Joint Standing Committee’s </w:t>
      </w:r>
      <w:r w:rsidRPr="002F27EB">
        <w:t>attention to innovative models in Queensland such as Bespoke Lifestyles</w:t>
      </w:r>
      <w:r w:rsidR="00760470">
        <w:t xml:space="preserve"> and Staffing Options for Community Services</w:t>
      </w:r>
      <w:r w:rsidRPr="002F27EB">
        <w:t xml:space="preserve">, </w:t>
      </w:r>
      <w:r w:rsidR="00760470">
        <w:t xml:space="preserve">both organisations </w:t>
      </w:r>
      <w:r w:rsidRPr="002F27EB">
        <w:t>support people with high support needs to live independent lives in the community in housing of their choice.</w:t>
      </w:r>
      <w:r w:rsidR="0094563F" w:rsidRPr="002F27EB">
        <w:t xml:space="preserve"> </w:t>
      </w:r>
      <w:r w:rsidR="00BF5961">
        <w:t>Other i</w:t>
      </w:r>
      <w:r w:rsidR="0094563F" w:rsidRPr="002F27EB">
        <w:t xml:space="preserve">nnovative models </w:t>
      </w:r>
      <w:r w:rsidR="00B43FF6" w:rsidRPr="002F27EB">
        <w:t xml:space="preserve">were </w:t>
      </w:r>
      <w:r w:rsidR="0094563F" w:rsidRPr="002F27EB">
        <w:t xml:space="preserve">discussed at the recent Griffith University NDIS Symposium </w:t>
      </w:r>
      <w:r w:rsidR="0094563F" w:rsidRPr="002F27EB">
        <w:rPr>
          <w:i/>
        </w:rPr>
        <w:t>"Housing for people with disability: a place to call home"</w:t>
      </w:r>
      <w:r w:rsidR="000C067A" w:rsidRPr="002F27EB">
        <w:t>, such as the Independent Youth Housing Group</w:t>
      </w:r>
      <w:r w:rsidR="00B43FF6" w:rsidRPr="002F27EB">
        <w:t>.</w:t>
      </w:r>
      <w:bookmarkEnd w:id="39"/>
      <w:bookmarkEnd w:id="40"/>
      <w:r w:rsidR="000C067A" w:rsidRPr="002F27EB">
        <w:t xml:space="preserve">  </w:t>
      </w:r>
      <w:r w:rsidR="0094563F" w:rsidRPr="002F27EB">
        <w:rPr>
          <w:rStyle w:val="apple-converted-space"/>
        </w:rPr>
        <w:t> </w:t>
      </w:r>
    </w:p>
    <w:p w:rsidR="00D63A58" w:rsidRDefault="00306AAA" w:rsidP="00A44975">
      <w:r>
        <w:lastRenderedPageBreak/>
        <w:t>QDN m</w:t>
      </w:r>
      <w:r w:rsidR="00E01F0D">
        <w:t>ember</w:t>
      </w:r>
      <w:r w:rsidR="004725C8">
        <w:t xml:space="preserve"> feedback indicates t</w:t>
      </w:r>
      <w:r w:rsidR="00E01F0D">
        <w:t xml:space="preserve">hat </w:t>
      </w:r>
      <w:r w:rsidR="004725C8">
        <w:t xml:space="preserve">currently there is a cohort of people in group arrangements </w:t>
      </w:r>
      <w:proofErr w:type="gramStart"/>
      <w:r w:rsidR="004725C8">
        <w:t>who</w:t>
      </w:r>
      <w:proofErr w:type="gramEnd"/>
      <w:r w:rsidR="004725C8">
        <w:t xml:space="preserve"> prefer to live in different, more individualised housing options and/or their service providers support this happening. Both parties agree a </w:t>
      </w:r>
      <w:r w:rsidR="00DF724F">
        <w:t>similar</w:t>
      </w:r>
      <w:r w:rsidR="004725C8">
        <w:t xml:space="preserve"> living arrangement would better meet the person’s </w:t>
      </w:r>
      <w:r>
        <w:t xml:space="preserve">goals, </w:t>
      </w:r>
      <w:r w:rsidR="004725C8">
        <w:t>personality, behaviour</w:t>
      </w:r>
      <w:r w:rsidR="001E0F5D">
        <w:t xml:space="preserve"> and </w:t>
      </w:r>
      <w:r w:rsidR="004725C8">
        <w:t xml:space="preserve">support needs.  </w:t>
      </w:r>
    </w:p>
    <w:p w:rsidR="00DA2300" w:rsidRDefault="00DA2300" w:rsidP="001D2D1C">
      <w:pPr>
        <w:rPr>
          <w:rStyle w:val="Heading4Char"/>
          <w:b w:val="0"/>
          <w:color w:val="auto"/>
        </w:rPr>
      </w:pPr>
      <w:bookmarkStart w:id="41" w:name="_Toc445904151"/>
      <w:bookmarkStart w:id="42" w:name="_Toc445910182"/>
      <w:bookmarkStart w:id="43" w:name="_Toc445204922"/>
      <w:r w:rsidRPr="00DA2300">
        <w:rPr>
          <w:rStyle w:val="Heading4Char"/>
          <w:b w:val="0"/>
          <w:color w:val="auto"/>
        </w:rPr>
        <w:t xml:space="preserve">Additionally, members reinforced it is most important that </w:t>
      </w:r>
      <w:r w:rsidR="00B43FF6">
        <w:rPr>
          <w:rStyle w:val="Heading4Char"/>
          <w:b w:val="0"/>
          <w:color w:val="auto"/>
        </w:rPr>
        <w:t xml:space="preserve">any proposed accommodation </w:t>
      </w:r>
      <w:r w:rsidR="002F27EB">
        <w:rPr>
          <w:rStyle w:val="Heading4Char"/>
          <w:b w:val="0"/>
          <w:color w:val="auto"/>
        </w:rPr>
        <w:t xml:space="preserve">models </w:t>
      </w:r>
      <w:r w:rsidR="00B43FF6">
        <w:rPr>
          <w:rStyle w:val="Heading4Char"/>
          <w:b w:val="0"/>
          <w:color w:val="auto"/>
        </w:rPr>
        <w:t>for people with disability</w:t>
      </w:r>
      <w:r w:rsidRPr="00DA2300">
        <w:rPr>
          <w:rStyle w:val="Heading4Char"/>
          <w:b w:val="0"/>
          <w:color w:val="auto"/>
        </w:rPr>
        <w:t xml:space="preserve"> promote and support a </w:t>
      </w:r>
      <w:r>
        <w:rPr>
          <w:rStyle w:val="Heading4Char"/>
          <w:b w:val="0"/>
          <w:color w:val="auto"/>
        </w:rPr>
        <w:t xml:space="preserve">much broader </w:t>
      </w:r>
      <w:r w:rsidRPr="00DA2300">
        <w:rPr>
          <w:rStyle w:val="Heading4Char"/>
          <w:b w:val="0"/>
          <w:color w:val="auto"/>
        </w:rPr>
        <w:t xml:space="preserve">range of innovative housing options for this group, </w:t>
      </w:r>
      <w:r>
        <w:rPr>
          <w:rStyle w:val="Heading4Char"/>
          <w:b w:val="0"/>
          <w:color w:val="auto"/>
        </w:rPr>
        <w:t xml:space="preserve">that reflect key NDIS principles of rights, choice and social and economic  participation, </w:t>
      </w:r>
      <w:r w:rsidRPr="00DA2300">
        <w:rPr>
          <w:rStyle w:val="Heading4Char"/>
          <w:b w:val="0"/>
          <w:color w:val="auto"/>
        </w:rPr>
        <w:t>rather than replicating current group home arrangements.</w:t>
      </w:r>
      <w:bookmarkEnd w:id="41"/>
      <w:bookmarkEnd w:id="42"/>
    </w:p>
    <w:p w:rsidR="00B06D26" w:rsidRDefault="002F27EB" w:rsidP="002F707F">
      <w:pPr>
        <w:jc w:val="both"/>
      </w:pPr>
      <w:bookmarkStart w:id="44" w:name="_Toc445910183"/>
      <w:bookmarkEnd w:id="43"/>
      <w:r>
        <w:rPr>
          <w:rStyle w:val="Heading4Char"/>
        </w:rPr>
        <w:t>Transparency</w:t>
      </w:r>
      <w:r w:rsidR="00B43FF6">
        <w:rPr>
          <w:rStyle w:val="Heading4Char"/>
        </w:rPr>
        <w:t xml:space="preserve"> in rent calculations</w:t>
      </w:r>
      <w:bookmarkEnd w:id="44"/>
    </w:p>
    <w:p w:rsidR="003D11CF" w:rsidRDefault="00B06D26" w:rsidP="002F707F">
      <w:pPr>
        <w:jc w:val="both"/>
      </w:pPr>
      <w:r>
        <w:t xml:space="preserve">QDN </w:t>
      </w:r>
      <w:r w:rsidR="000D7192">
        <w:t xml:space="preserve">believes </w:t>
      </w:r>
      <w:r w:rsidR="003D11CF">
        <w:t xml:space="preserve">rent </w:t>
      </w:r>
      <w:r w:rsidR="000D7192">
        <w:t xml:space="preserve">needs to </w:t>
      </w:r>
      <w:r w:rsidR="003D11CF">
        <w:t>be calculated separate from board</w:t>
      </w:r>
      <w:r w:rsidR="000D7192">
        <w:t xml:space="preserve"> charges</w:t>
      </w:r>
      <w:r w:rsidR="009E6582">
        <w:t>. Such charges are usually encompassed in a total fee paid by a resident which covers items such as food, power, phone and other household costs, in addition to a rental component. Such board charges a</w:t>
      </w:r>
      <w:r w:rsidR="002F27EB">
        <w:t xml:space="preserve">re common in </w:t>
      </w:r>
      <w:r w:rsidR="00E61D02">
        <w:t xml:space="preserve">current disability accommodation </w:t>
      </w:r>
      <w:r w:rsidR="002F27EB">
        <w:t>group home arrangements</w:t>
      </w:r>
      <w:r w:rsidR="003D11CF">
        <w:t xml:space="preserve">.  </w:t>
      </w:r>
      <w:r>
        <w:t xml:space="preserve">QDN </w:t>
      </w:r>
      <w:r w:rsidR="000D7192">
        <w:t xml:space="preserve">believes this </w:t>
      </w:r>
      <w:r>
        <w:t>makes the price for accommodation more transparent for people with disability</w:t>
      </w:r>
      <w:r w:rsidR="005B512D">
        <w:t xml:space="preserve"> and will be a shift in practice for </w:t>
      </w:r>
      <w:r w:rsidR="000D7192">
        <w:t xml:space="preserve">many </w:t>
      </w:r>
      <w:r w:rsidR="005B512D">
        <w:t>providers</w:t>
      </w:r>
      <w:r>
        <w:t xml:space="preserve">.  It also lays the groundwork in establishing tenancy </w:t>
      </w:r>
      <w:r w:rsidR="00DA2300">
        <w:t xml:space="preserve">agreements and </w:t>
      </w:r>
      <w:r>
        <w:t xml:space="preserve">rights </w:t>
      </w:r>
      <w:r w:rsidR="0003665D">
        <w:t xml:space="preserve">for people </w:t>
      </w:r>
      <w:r>
        <w:t>that are separate from support arrangements.</w:t>
      </w:r>
    </w:p>
    <w:p w:rsidR="00610CDF" w:rsidRDefault="00610CDF" w:rsidP="00610CDF">
      <w:pPr>
        <w:pStyle w:val="Heading4"/>
      </w:pPr>
      <w:bookmarkStart w:id="45" w:name="_Toc445910184"/>
      <w:r>
        <w:t>Maintaining NDIS principles of choice and control</w:t>
      </w:r>
      <w:bookmarkEnd w:id="45"/>
    </w:p>
    <w:p w:rsidR="00610CDF" w:rsidRDefault="00610CDF" w:rsidP="00610CDF">
      <w:pPr>
        <w:jc w:val="both"/>
      </w:pPr>
      <w:r>
        <w:t xml:space="preserve">QDN believes accommodation </w:t>
      </w:r>
      <w:r w:rsidR="00BF5961">
        <w:t xml:space="preserve">supply and </w:t>
      </w:r>
      <w:r>
        <w:t xml:space="preserve">models for people with disability need to uphold the NDIS principles of choice and control.  This will be particularly important when considering how group home models will operate under the NDIS. For example, if a participant decides they no longer wish to live with their co-tenants, </w:t>
      </w:r>
      <w:r w:rsidR="00C84214">
        <w:t xml:space="preserve">other </w:t>
      </w:r>
      <w:r w:rsidR="00BF5961">
        <w:t xml:space="preserve">housing options </w:t>
      </w:r>
      <w:r w:rsidR="00C84214">
        <w:t xml:space="preserve">need to be </w:t>
      </w:r>
      <w:r w:rsidR="00BF5961">
        <w:t xml:space="preserve">available for the person to relocate into, in line with their decision. </w:t>
      </w:r>
      <w:r w:rsidR="00C84214">
        <w:t xml:space="preserve">The challenge in the current housing environment is having other housing options into which the person can relocate. Otherwise, </w:t>
      </w:r>
      <w:r>
        <w:t xml:space="preserve">the participant </w:t>
      </w:r>
      <w:r w:rsidR="00C84214">
        <w:t xml:space="preserve">may </w:t>
      </w:r>
      <w:r>
        <w:t>be forced to stay in a less desirable scenario because there are no other viable options</w:t>
      </w:r>
      <w:r w:rsidR="00C84214">
        <w:t xml:space="preserve"> or relocate to accommodation that is not their preferred choice. </w:t>
      </w:r>
    </w:p>
    <w:p w:rsidR="003B2B51" w:rsidRDefault="00610CDF" w:rsidP="003B2B51">
      <w:pPr>
        <w:pStyle w:val="Heading4"/>
      </w:pPr>
      <w:bookmarkStart w:id="46" w:name="_Toc445910185"/>
      <w:r>
        <w:t>Choosing with whom you live</w:t>
      </w:r>
      <w:bookmarkEnd w:id="46"/>
    </w:p>
    <w:p w:rsidR="00610CDF" w:rsidRDefault="00610CDF" w:rsidP="00610CDF">
      <w:pPr>
        <w:jc w:val="both"/>
      </w:pPr>
      <w:r>
        <w:t xml:space="preserve">QDN believes for accommodation to reflect key NDIS principles, it is crucial that participants have as much choice as possible regarding where and with whom they live.   </w:t>
      </w:r>
    </w:p>
    <w:p w:rsidR="00610CDF" w:rsidRDefault="00610CDF" w:rsidP="00610CDF">
      <w:pPr>
        <w:jc w:val="both"/>
      </w:pPr>
      <w:r>
        <w:t xml:space="preserve">QDN questions who makes the policy around who lives together and on what basis? QDN Housing Champions were clear that people with disability should not be moved from house to house or region to region based on decisions of a service provider around housing economic viability or viable support arrangements or other service management issues.  </w:t>
      </w:r>
    </w:p>
    <w:p w:rsidR="00610CDF" w:rsidRDefault="00610CDF" w:rsidP="00610CDF">
      <w:pPr>
        <w:jc w:val="both"/>
      </w:pPr>
      <w:r>
        <w:lastRenderedPageBreak/>
        <w:t>This means that in the event a ‘vacancy’ arises, there is considered thought put into ensuring a suitable household match with a new tenant and that all parties, including the person, any informal or formal decision makers, and/or their advocate have a say when a potential new tenant is introduced.  This should be reflective of share houses in the general community and could include processes such as:</w:t>
      </w:r>
    </w:p>
    <w:p w:rsidR="00610CDF" w:rsidRDefault="00610CDF" w:rsidP="00123958">
      <w:pPr>
        <w:pStyle w:val="ListParagraph"/>
        <w:numPr>
          <w:ilvl w:val="0"/>
          <w:numId w:val="39"/>
        </w:numPr>
        <w:jc w:val="both"/>
      </w:pPr>
      <w:r w:rsidRPr="00B72B2F">
        <w:rPr>
          <w:b/>
        </w:rPr>
        <w:t>New tenant interviews:</w:t>
      </w:r>
      <w:r>
        <w:t xml:space="preserve"> </w:t>
      </w:r>
      <w:r w:rsidR="003B2B51">
        <w:t>C</w:t>
      </w:r>
      <w:r>
        <w:t>onducted by existing tenants and their supporters to help determine suitability, compatibility, gender and lifestyle considerations of potential tenants.  The interview process could also be an opportunity to articulate house rules, responsibilities/expected chores of each tenant, shared costs, utilities etc.</w:t>
      </w:r>
    </w:p>
    <w:p w:rsidR="00610CDF" w:rsidRDefault="00610CDF" w:rsidP="00123958">
      <w:pPr>
        <w:pStyle w:val="ListParagraph"/>
        <w:numPr>
          <w:ilvl w:val="0"/>
          <w:numId w:val="39"/>
        </w:numPr>
        <w:jc w:val="both"/>
      </w:pPr>
      <w:r w:rsidRPr="00B72B2F">
        <w:rPr>
          <w:b/>
        </w:rPr>
        <w:t>Share house agreement:</w:t>
      </w:r>
      <w:r>
        <w:t xml:space="preserve"> </w:t>
      </w:r>
      <w:r w:rsidR="003B2B51">
        <w:t>A</w:t>
      </w:r>
      <w:r>
        <w:t>n informal document between tenants outlining agreed house rules and responsibilities, shared costs etc.</w:t>
      </w:r>
    </w:p>
    <w:p w:rsidR="00610CDF" w:rsidRDefault="00610CDF" w:rsidP="00123958">
      <w:pPr>
        <w:pStyle w:val="ListParagraph"/>
        <w:numPr>
          <w:ilvl w:val="0"/>
          <w:numId w:val="39"/>
        </w:numPr>
        <w:jc w:val="both"/>
      </w:pPr>
      <w:r w:rsidRPr="00B72B2F">
        <w:rPr>
          <w:b/>
        </w:rPr>
        <w:t>Trial periods:</w:t>
      </w:r>
      <w:r>
        <w:t xml:space="preserve"> </w:t>
      </w:r>
      <w:r w:rsidR="003B2B51">
        <w:t>T</w:t>
      </w:r>
      <w:r>
        <w:t xml:space="preserve">enants are encouraged to trial living together for a set period and can “opt-out” at the end of the period with no repercussions or penalties or loss of their original housing arrangement. </w:t>
      </w:r>
    </w:p>
    <w:p w:rsidR="00610CDF" w:rsidRDefault="00610CDF" w:rsidP="00123958">
      <w:pPr>
        <w:pStyle w:val="ListParagraph"/>
        <w:numPr>
          <w:ilvl w:val="0"/>
          <w:numId w:val="39"/>
        </w:numPr>
        <w:jc w:val="both"/>
      </w:pPr>
      <w:r w:rsidRPr="00914EA1">
        <w:rPr>
          <w:b/>
        </w:rPr>
        <w:t xml:space="preserve">Procedures in place for dealing with </w:t>
      </w:r>
      <w:r>
        <w:rPr>
          <w:b/>
        </w:rPr>
        <w:t xml:space="preserve">possible </w:t>
      </w:r>
      <w:r w:rsidRPr="00914EA1">
        <w:rPr>
          <w:b/>
        </w:rPr>
        <w:t>tenant conflict/abuse:</w:t>
      </w:r>
      <w:r>
        <w:t xml:space="preserve"> </w:t>
      </w:r>
      <w:r w:rsidR="003B2B51">
        <w:t>A</w:t>
      </w:r>
      <w:r>
        <w:t xml:space="preserve">t a tenancy management level there needs to be clear procedures in place for dealing with (and possibly reporting) tenant conflict and abuse, including the provision to quickly end a shared tenancy in the instance of tenant-tenant abuse or violence. </w:t>
      </w:r>
    </w:p>
    <w:p w:rsidR="00610CDF" w:rsidRDefault="00610CDF" w:rsidP="00610CDF">
      <w:pPr>
        <w:pStyle w:val="Heading4"/>
        <w:jc w:val="both"/>
      </w:pPr>
      <w:bookmarkStart w:id="47" w:name="_Toc445910186"/>
      <w:bookmarkStart w:id="48" w:name="_Toc437346363"/>
      <w:r>
        <w:t>Separation of the landlord and support role and tenancy rights</w:t>
      </w:r>
      <w:bookmarkEnd w:id="47"/>
    </w:p>
    <w:p w:rsidR="00610CDF" w:rsidRPr="006675DC" w:rsidRDefault="00610CDF" w:rsidP="00610CDF">
      <w:pPr>
        <w:jc w:val="both"/>
      </w:pPr>
      <w:r>
        <w:t xml:space="preserve">It is important that the management of accommodation is kept separate from the provision of support – QDN’s fourth housing principle.  This ensures that if a person has a problem with their service provider, their housing will not be affected as they have the security of a lease. Separating housing and support also works in reverse insofar as if a person does lose their </w:t>
      </w:r>
      <w:r w:rsidR="00C84214">
        <w:t>housing;</w:t>
      </w:r>
      <w:r>
        <w:t xml:space="preserve"> they still have access to necessary support services. </w:t>
      </w:r>
    </w:p>
    <w:p w:rsidR="00610CDF" w:rsidRDefault="00610CDF" w:rsidP="00610CDF">
      <w:pPr>
        <w:jc w:val="both"/>
      </w:pPr>
      <w:r>
        <w:t xml:space="preserve">QDN believes that people with disability should have tenancy rights equivalent to people in the general community who rent in the public or private market.  These rights should be clearly stated in a Tenancy Agreement and be lodged with the appropriate local tenancy authority, similar to tenancy agreements in the general community.  </w:t>
      </w:r>
    </w:p>
    <w:p w:rsidR="00610CDF" w:rsidRDefault="00610CDF" w:rsidP="00610CDF">
      <w:pPr>
        <w:jc w:val="both"/>
      </w:pPr>
      <w:r>
        <w:t xml:space="preserve">There is also need for specialist advocacy support through local tenancy authorities to assist people with disability with tenant advocacy matters, including support to appear at a Tribunal around tenancy-related issues.  This ensures people’s rights as tenants are upheld and is a crucial first step in ensuring the management of housing is kept separate from the provision of support.  </w:t>
      </w:r>
    </w:p>
    <w:p w:rsidR="00610CDF" w:rsidRDefault="00610CDF" w:rsidP="00610CDF">
      <w:pPr>
        <w:jc w:val="both"/>
      </w:pPr>
      <w:r>
        <w:t xml:space="preserve">Tenancy agreements need to be negotiated with each individual with specific NDIS provisions around portability of funding and how potential </w:t>
      </w:r>
      <w:r w:rsidRPr="009C5C8F">
        <w:rPr>
          <w:snapToGrid w:val="0"/>
        </w:rPr>
        <w:t>changes to their accommodation (such as provider, location and/or configuration)</w:t>
      </w:r>
      <w:r>
        <w:rPr>
          <w:snapToGrid w:val="0"/>
        </w:rPr>
        <w:t xml:space="preserve"> will be negotiated, streamlined and not attract penalty.</w:t>
      </w:r>
      <w:r>
        <w:t xml:space="preserve"> </w:t>
      </w:r>
    </w:p>
    <w:p w:rsidR="00610CDF" w:rsidRPr="00930323" w:rsidRDefault="00610CDF" w:rsidP="00610CDF">
      <w:pPr>
        <w:pStyle w:val="Heading4"/>
        <w:jc w:val="both"/>
      </w:pPr>
      <w:bookmarkStart w:id="49" w:name="_Toc445910187"/>
      <w:r w:rsidRPr="00720A06">
        <w:lastRenderedPageBreak/>
        <w:t>Location of accommodation</w:t>
      </w:r>
      <w:bookmarkEnd w:id="49"/>
      <w:r w:rsidRPr="00720A06">
        <w:t xml:space="preserve"> </w:t>
      </w:r>
    </w:p>
    <w:p w:rsidR="00610CDF" w:rsidRPr="001A01F8" w:rsidRDefault="00610CDF" w:rsidP="00610CDF">
      <w:pPr>
        <w:jc w:val="both"/>
      </w:pPr>
      <w:r w:rsidRPr="001A01F8">
        <w:t xml:space="preserve">QDN members strongly believe that </w:t>
      </w:r>
      <w:r>
        <w:t xml:space="preserve">accommodation for people with disability </w:t>
      </w:r>
      <w:r w:rsidRPr="001A01F8">
        <w:t>needs to be in locations that support a p</w:t>
      </w:r>
      <w:r>
        <w:t xml:space="preserve">erson’s </w:t>
      </w:r>
      <w:r w:rsidRPr="001A01F8">
        <w:t>economic and social participation. As such, it should not be on the outskirts of the city or town, far away from a person’s family or friends (informal supports).  Nor should it be located in areas with no public transport or other infrastructure and amenities.</w:t>
      </w:r>
    </w:p>
    <w:p w:rsidR="00610CDF" w:rsidRDefault="00610CDF" w:rsidP="00610CDF">
      <w:pPr>
        <w:jc w:val="both"/>
      </w:pPr>
      <w:r>
        <w:t>Additionally, QDN members were adamant that accommodation for people with disability should be planned so that:</w:t>
      </w:r>
    </w:p>
    <w:p w:rsidR="00610CDF" w:rsidRDefault="00610CDF" w:rsidP="00123958">
      <w:pPr>
        <w:pStyle w:val="ListParagraph"/>
        <w:numPr>
          <w:ilvl w:val="0"/>
          <w:numId w:val="40"/>
        </w:numPr>
        <w:jc w:val="both"/>
      </w:pPr>
      <w:r>
        <w:t xml:space="preserve">The style of the housing blends </w:t>
      </w:r>
      <w:r w:rsidR="003B2B51">
        <w:t>with</w:t>
      </w:r>
      <w:r>
        <w:t xml:space="preserve"> other housing in the area (</w:t>
      </w:r>
      <w:proofErr w:type="spellStart"/>
      <w:r>
        <w:t>ie</w:t>
      </w:r>
      <w:proofErr w:type="spellEnd"/>
      <w:r>
        <w:t xml:space="preserve"> it didn’t look visibly different)</w:t>
      </w:r>
    </w:p>
    <w:p w:rsidR="00610CDF" w:rsidRDefault="00610CDF" w:rsidP="00123958">
      <w:pPr>
        <w:pStyle w:val="ListParagraph"/>
        <w:numPr>
          <w:ilvl w:val="0"/>
          <w:numId w:val="40"/>
        </w:numPr>
        <w:jc w:val="both"/>
      </w:pPr>
      <w:r>
        <w:t>Housing for people with disability is part of a mix of different housing types and tenures: units, town houses, houses, public/private rental, home ownership in the same area so that it doesn’t become “ghettoised”, marginalised or institutionalised.</w:t>
      </w:r>
    </w:p>
    <w:p w:rsidR="00610CDF" w:rsidRDefault="00610CDF" w:rsidP="00123958">
      <w:pPr>
        <w:pStyle w:val="ListParagraph"/>
        <w:numPr>
          <w:ilvl w:val="0"/>
          <w:numId w:val="40"/>
        </w:numPr>
        <w:jc w:val="both"/>
      </w:pPr>
      <w:r>
        <w:t>There is opportunity for people with disability, through well-planned and designed housing, to be welcomed, active members of communities of their choosing and achieve full social and economic participation.</w:t>
      </w:r>
    </w:p>
    <w:p w:rsidR="00610CDF" w:rsidRDefault="00610CDF" w:rsidP="00610CDF">
      <w:pPr>
        <w:pStyle w:val="Heading4"/>
      </w:pPr>
      <w:bookmarkStart w:id="50" w:name="_Toc445910188"/>
      <w:bookmarkEnd w:id="48"/>
      <w:r>
        <w:t>Home ownership</w:t>
      </w:r>
      <w:bookmarkEnd w:id="50"/>
      <w:r>
        <w:t xml:space="preserve"> </w:t>
      </w:r>
    </w:p>
    <w:p w:rsidR="00610CDF" w:rsidRDefault="00610CDF" w:rsidP="00610CDF">
      <w:pPr>
        <w:jc w:val="both"/>
      </w:pPr>
      <w:r>
        <w:t>Many QDN members, like many Australians, have aspirations of home ownership. In discussing accommodation for people with disability, QDN members raised the issue that many people with disability never get the option to enter the housing market or those who acquire a disability are often forced out of the housing market due to:</w:t>
      </w:r>
    </w:p>
    <w:p w:rsidR="00610CDF" w:rsidRPr="00282575" w:rsidRDefault="00610CDF" w:rsidP="00610CDF">
      <w:pPr>
        <w:pStyle w:val="ListParagraph"/>
        <w:numPr>
          <w:ilvl w:val="0"/>
          <w:numId w:val="33"/>
        </w:numPr>
        <w:jc w:val="both"/>
      </w:pPr>
      <w:r w:rsidRPr="00282575">
        <w:t xml:space="preserve">Their need for </w:t>
      </w:r>
      <w:r>
        <w:t>accessible housing</w:t>
      </w:r>
      <w:r w:rsidRPr="00282575">
        <w:t xml:space="preserve"> which cannot be provided by their current housing</w:t>
      </w:r>
      <w:r w:rsidR="003B2B51">
        <w:t>,</w:t>
      </w:r>
      <w:r w:rsidRPr="00282575">
        <w:t xml:space="preserve"> or the private rental or home ownership markets due to low availability of affordable, accessible housing (including universal design) features; and </w:t>
      </w:r>
    </w:p>
    <w:p w:rsidR="00610CDF" w:rsidRPr="00DB7637" w:rsidRDefault="00610CDF" w:rsidP="00610CDF">
      <w:pPr>
        <w:pStyle w:val="ListParagraph"/>
        <w:numPr>
          <w:ilvl w:val="0"/>
          <w:numId w:val="33"/>
        </w:numPr>
        <w:jc w:val="both"/>
      </w:pPr>
      <w:r w:rsidRPr="00DB7637">
        <w:t>Being unable to maintain employment and keep up with mortgage repayments. Currently people are only able to engage in the public housing system once they have been forced out of home ownership, thus leading to a greater risk of homelessness.  There is no option for transition.</w:t>
      </w:r>
    </w:p>
    <w:p w:rsidR="00610CDF" w:rsidRDefault="00610CDF" w:rsidP="00610CDF">
      <w:pPr>
        <w:pStyle w:val="Heading3"/>
      </w:pPr>
      <w:bookmarkStart w:id="51" w:name="_Toc445910189"/>
      <w:r>
        <w:t>Possible funding models</w:t>
      </w:r>
      <w:bookmarkEnd w:id="51"/>
    </w:p>
    <w:p w:rsidR="00410130" w:rsidRDefault="00D63A58" w:rsidP="002F707F">
      <w:pPr>
        <w:pStyle w:val="Heading4"/>
        <w:jc w:val="both"/>
      </w:pPr>
      <w:bookmarkStart w:id="52" w:name="_Toc445910190"/>
      <w:r>
        <w:t xml:space="preserve">Strategies to stimulate innovative housing verses </w:t>
      </w:r>
      <w:r w:rsidR="00E944D3">
        <w:t xml:space="preserve">a </w:t>
      </w:r>
      <w:r w:rsidR="00410130">
        <w:t>m</w:t>
      </w:r>
      <w:r w:rsidR="00085F92">
        <w:t>odified market</w:t>
      </w:r>
      <w:bookmarkEnd w:id="52"/>
      <w:r w:rsidR="00085F92">
        <w:t xml:space="preserve"> </w:t>
      </w:r>
    </w:p>
    <w:p w:rsidR="005209B4" w:rsidRDefault="008D7F44" w:rsidP="002F707F">
      <w:pPr>
        <w:jc w:val="both"/>
      </w:pPr>
      <w:r>
        <w:t xml:space="preserve">QDN cautions that </w:t>
      </w:r>
      <w:r w:rsidR="000D7192">
        <w:t xml:space="preserve">the accommodation </w:t>
      </w:r>
      <w:r>
        <w:t xml:space="preserve">market </w:t>
      </w:r>
      <w:r w:rsidR="000D7192">
        <w:t xml:space="preserve">for people with disability </w:t>
      </w:r>
      <w:r w:rsidR="00085F92">
        <w:t xml:space="preserve">needs to </w:t>
      </w:r>
      <w:r w:rsidR="000D7192">
        <w:t>comprise of m</w:t>
      </w:r>
      <w:r w:rsidR="00085F92">
        <w:t xml:space="preserve">ore than just current group home </w:t>
      </w:r>
      <w:r w:rsidR="000D7192">
        <w:t xml:space="preserve">and social </w:t>
      </w:r>
      <w:r w:rsidR="00085F92">
        <w:t xml:space="preserve">housing stock. </w:t>
      </w:r>
      <w:r>
        <w:t>An o</w:t>
      </w:r>
      <w:r w:rsidR="00085F92">
        <w:t xml:space="preserve">verall approach needs to </w:t>
      </w:r>
      <w:r>
        <w:t xml:space="preserve">include </w:t>
      </w:r>
      <w:r w:rsidR="00085F92">
        <w:t>a range of ways to stimulate the housing market</w:t>
      </w:r>
      <w:r>
        <w:t xml:space="preserve"> in</w:t>
      </w:r>
      <w:r w:rsidR="00085F92">
        <w:t xml:space="preserve"> </w:t>
      </w:r>
      <w:r w:rsidR="00DA2300">
        <w:t xml:space="preserve">a </w:t>
      </w:r>
      <w:r w:rsidR="00085F92">
        <w:t xml:space="preserve">parallel process </w:t>
      </w:r>
      <w:r w:rsidR="00085F92" w:rsidRPr="00DB7637">
        <w:t xml:space="preserve">with </w:t>
      </w:r>
      <w:r w:rsidRPr="00DB7637">
        <w:t xml:space="preserve">recent developments of </w:t>
      </w:r>
      <w:r w:rsidR="00085F92" w:rsidRPr="00DB7637">
        <w:t>high density housing</w:t>
      </w:r>
      <w:r w:rsidR="00DA2300" w:rsidRPr="00DB7637">
        <w:t xml:space="preserve"> across the nation</w:t>
      </w:r>
      <w:r w:rsidRPr="00DB7637">
        <w:t>.</w:t>
      </w:r>
      <w:r w:rsidR="00E82DCA">
        <w:t xml:space="preserve"> </w:t>
      </w:r>
    </w:p>
    <w:p w:rsidR="00085F92" w:rsidRDefault="005209B4" w:rsidP="002F707F">
      <w:pPr>
        <w:jc w:val="both"/>
      </w:pPr>
      <w:r>
        <w:lastRenderedPageBreak/>
        <w:t xml:space="preserve">QDN supports strategies put forward at the </w:t>
      </w:r>
      <w:r w:rsidR="00133FD2">
        <w:t xml:space="preserve">previously mentioned </w:t>
      </w:r>
      <w:r>
        <w:t xml:space="preserve">Griffith University Symposium: </w:t>
      </w:r>
      <w:r w:rsidRPr="005209B4">
        <w:rPr>
          <w:i/>
        </w:rPr>
        <w:t>“Housing for people with disability: a place to call home”</w:t>
      </w:r>
      <w:r>
        <w:t xml:space="preserve"> </w:t>
      </w:r>
      <w:r w:rsidR="00E82DCA">
        <w:t xml:space="preserve">to stimulate a range of housing in </w:t>
      </w:r>
      <w:r>
        <w:t>inner</w:t>
      </w:r>
      <w:r w:rsidR="00E82DCA">
        <w:t xml:space="preserve"> city and suburban locations in </w:t>
      </w:r>
      <w:r>
        <w:t>metropolitan</w:t>
      </w:r>
      <w:r w:rsidR="00E82DCA">
        <w:t xml:space="preserve">, regional and rural </w:t>
      </w:r>
      <w:r>
        <w:t>locations</w:t>
      </w:r>
      <w:r w:rsidR="00E82DCA">
        <w:t>.</w:t>
      </w:r>
      <w:r>
        <w:t xml:space="preserve">  These include:</w:t>
      </w:r>
    </w:p>
    <w:p w:rsidR="00EE38C9" w:rsidRDefault="00BE4C58" w:rsidP="00123958">
      <w:pPr>
        <w:pStyle w:val="ListParagraph"/>
        <w:numPr>
          <w:ilvl w:val="0"/>
          <w:numId w:val="41"/>
        </w:numPr>
        <w:jc w:val="both"/>
      </w:pPr>
      <w:r>
        <w:t>Mandat</w:t>
      </w:r>
      <w:r w:rsidR="00227ADC">
        <w:t>ing</w:t>
      </w:r>
      <w:r>
        <w:t xml:space="preserve"> inclusionary zoning – a requirement to build</w:t>
      </w:r>
      <w:r w:rsidR="00EE38C9">
        <w:t xml:space="preserve"> accessible and affordable housing as a condition of planning approval. Accessible and affordable housing is located and integrated within market priced housing development</w:t>
      </w:r>
      <w:r w:rsidR="00DA2300">
        <w:t>;</w:t>
      </w:r>
    </w:p>
    <w:p w:rsidR="00731033" w:rsidRDefault="00227ADC" w:rsidP="00123958">
      <w:pPr>
        <w:pStyle w:val="ListParagraph"/>
        <w:numPr>
          <w:ilvl w:val="0"/>
          <w:numId w:val="41"/>
        </w:numPr>
        <w:jc w:val="both"/>
      </w:pPr>
      <w:r>
        <w:t>Having an i</w:t>
      </w:r>
      <w:r w:rsidR="00731033">
        <w:t>ntegrated policy response: taxation, cost-effective government investment, urban planning and social housing policies</w:t>
      </w:r>
      <w:r w:rsidR="00DA2300">
        <w:t>; and</w:t>
      </w:r>
    </w:p>
    <w:p w:rsidR="00BE4C58" w:rsidRDefault="00731033" w:rsidP="00123958">
      <w:pPr>
        <w:pStyle w:val="ListParagraph"/>
        <w:numPr>
          <w:ilvl w:val="0"/>
          <w:numId w:val="41"/>
        </w:numPr>
        <w:jc w:val="both"/>
      </w:pPr>
      <w:r>
        <w:t>Opening p</w:t>
      </w:r>
      <w:r w:rsidR="00EE38C9">
        <w:t xml:space="preserve">athways to home ownership – shared equity models, housing </w:t>
      </w:r>
      <w:proofErr w:type="gramStart"/>
      <w:r w:rsidR="00EE38C9">
        <w:t>trusts,</w:t>
      </w:r>
      <w:proofErr w:type="gramEnd"/>
      <w:r w:rsidR="00EE38C9">
        <w:t xml:space="preserve"> government loans.  </w:t>
      </w:r>
    </w:p>
    <w:p w:rsidR="00610CDF" w:rsidRDefault="00610CDF" w:rsidP="00610CDF">
      <w:pPr>
        <w:pStyle w:val="Heading4"/>
      </w:pPr>
      <w:bookmarkStart w:id="53" w:name="_Toc445910191"/>
      <w:r>
        <w:t>Shared equity: home ownership</w:t>
      </w:r>
      <w:bookmarkEnd w:id="53"/>
    </w:p>
    <w:p w:rsidR="00EC1A86" w:rsidRDefault="00BC4E68" w:rsidP="002F707F">
      <w:pPr>
        <w:jc w:val="both"/>
      </w:pPr>
      <w:r>
        <w:t xml:space="preserve">Shared equity models could provide a safety net </w:t>
      </w:r>
      <w:r w:rsidR="00FF59C6">
        <w:t xml:space="preserve">and quick intervention </w:t>
      </w:r>
      <w:r>
        <w:t xml:space="preserve">for people </w:t>
      </w:r>
      <w:r w:rsidR="003B2B51">
        <w:t xml:space="preserve">with disability at risk of either never entering or losing their place in the housing market.  </w:t>
      </w:r>
      <w:r w:rsidR="00282575">
        <w:t xml:space="preserve">It also </w:t>
      </w:r>
      <w:r w:rsidR="004828E0">
        <w:t xml:space="preserve">keeps people in their own homes and avoids putting pressure on the public and private rental markets. </w:t>
      </w:r>
      <w:r w:rsidR="005B512D">
        <w:t>T</w:t>
      </w:r>
      <w:r w:rsidR="004828E0">
        <w:t xml:space="preserve">he </w:t>
      </w:r>
      <w:r w:rsidR="00B3324A">
        <w:t xml:space="preserve">recently released </w:t>
      </w:r>
      <w:r w:rsidR="004828E0">
        <w:t>S</w:t>
      </w:r>
      <w:r w:rsidR="00B3324A">
        <w:t xml:space="preserve">pecialist </w:t>
      </w:r>
      <w:r w:rsidR="004828E0">
        <w:t>D</w:t>
      </w:r>
      <w:r w:rsidR="00B3324A">
        <w:t xml:space="preserve">isability </w:t>
      </w:r>
      <w:r w:rsidR="004828E0">
        <w:t>A</w:t>
      </w:r>
      <w:r w:rsidR="00B3324A">
        <w:t>ccommodation (SDA)</w:t>
      </w:r>
      <w:r w:rsidR="004828E0">
        <w:t xml:space="preserve"> Pricing and Payment Framework has the potential</w:t>
      </w:r>
      <w:r w:rsidR="00FF59C6">
        <w:t xml:space="preserve"> to assist people to </w:t>
      </w:r>
      <w:r w:rsidR="00D13F1E">
        <w:t xml:space="preserve">modify and </w:t>
      </w:r>
      <w:r w:rsidR="00FF59C6">
        <w:t>buy their own homes and ensure their social and economic participation in the community.</w:t>
      </w:r>
    </w:p>
    <w:p w:rsidR="00D438A4" w:rsidRDefault="00603022" w:rsidP="002F707F">
      <w:pPr>
        <w:pStyle w:val="Heading3"/>
        <w:jc w:val="both"/>
      </w:pPr>
      <w:bookmarkStart w:id="54" w:name="_Toc437265284"/>
      <w:bookmarkStart w:id="55" w:name="_Toc437346365"/>
      <w:bookmarkStart w:id="56" w:name="_Toc445910192"/>
      <w:bookmarkEnd w:id="30"/>
      <w:bookmarkEnd w:id="31"/>
      <w:r>
        <w:t>Conclusion</w:t>
      </w:r>
      <w:bookmarkEnd w:id="54"/>
      <w:bookmarkEnd w:id="55"/>
      <w:bookmarkEnd w:id="56"/>
    </w:p>
    <w:p w:rsidR="00CB2307" w:rsidRDefault="00B00542" w:rsidP="002F707F">
      <w:pPr>
        <w:jc w:val="both"/>
      </w:pPr>
      <w:r>
        <w:t xml:space="preserve">QDN </w:t>
      </w:r>
      <w:r w:rsidR="00CB2307">
        <w:t xml:space="preserve">welcomes the opportunity to provide this response to the </w:t>
      </w:r>
      <w:r w:rsidR="006B0EBC" w:rsidRPr="00FE08DC">
        <w:t xml:space="preserve">Joint Standing Committee on the National Disability Insurance Scheme </w:t>
      </w:r>
      <w:r w:rsidR="00FE08DC" w:rsidRPr="00FE08DC">
        <w:t xml:space="preserve">in their </w:t>
      </w:r>
      <w:r w:rsidR="006B0EBC" w:rsidRPr="00FE08DC">
        <w:t xml:space="preserve">examination of </w:t>
      </w:r>
      <w:r w:rsidR="00FE08DC">
        <w:t>a</w:t>
      </w:r>
      <w:r w:rsidR="00FE08DC" w:rsidRPr="00FE08DC">
        <w:t xml:space="preserve">ccommodation </w:t>
      </w:r>
      <w:r w:rsidR="006B0EBC" w:rsidRPr="00FE08DC">
        <w:t>for people with disabilities and the NDIS</w:t>
      </w:r>
      <w:r w:rsidR="00CB2307" w:rsidRPr="00FE08DC">
        <w:t>.  QDN urges the</w:t>
      </w:r>
      <w:r w:rsidR="00CB2307">
        <w:t xml:space="preserve"> </w:t>
      </w:r>
      <w:r w:rsidR="006B0EBC">
        <w:t xml:space="preserve">Joint Standing Committee </w:t>
      </w:r>
      <w:r w:rsidR="00CB2307">
        <w:t>to</w:t>
      </w:r>
      <w:r w:rsidR="000C6A1C">
        <w:t xml:space="preserve"> ensure that the </w:t>
      </w:r>
      <w:r w:rsidR="006B0EBC">
        <w:t xml:space="preserve">accommodation for people with disability </w:t>
      </w:r>
      <w:r w:rsidR="000C6A1C">
        <w:t>strongly reflects the NDIS principles of choice and control and social and economic participation</w:t>
      </w:r>
      <w:r w:rsidR="00B74CD5">
        <w:t xml:space="preserve">.  </w:t>
      </w:r>
    </w:p>
    <w:p w:rsidR="00B74CD5" w:rsidRDefault="0013591C" w:rsidP="002F707F">
      <w:pPr>
        <w:tabs>
          <w:tab w:val="left" w:pos="6804"/>
        </w:tabs>
        <w:ind w:right="-22"/>
        <w:jc w:val="both"/>
      </w:pPr>
      <w:r w:rsidRPr="005D32FD">
        <w:t xml:space="preserve">QDN </w:t>
      </w:r>
      <w:r>
        <w:t xml:space="preserve">calls </w:t>
      </w:r>
      <w:r w:rsidRPr="005D32FD">
        <w:t xml:space="preserve">upon </w:t>
      </w:r>
      <w:r w:rsidR="00B74CD5">
        <w:t xml:space="preserve">the </w:t>
      </w:r>
      <w:r w:rsidR="002E36A5">
        <w:t xml:space="preserve">Joint Standing Committee, the </w:t>
      </w:r>
      <w:r w:rsidR="00B74CD5">
        <w:t>N</w:t>
      </w:r>
      <w:r w:rsidR="002E36A5">
        <w:t xml:space="preserve">ational </w:t>
      </w:r>
      <w:r w:rsidR="00B74CD5">
        <w:t>D</w:t>
      </w:r>
      <w:r w:rsidR="002E36A5">
        <w:t xml:space="preserve">isability </w:t>
      </w:r>
      <w:r w:rsidR="00B74CD5">
        <w:t>I</w:t>
      </w:r>
      <w:r w:rsidR="002E36A5">
        <w:t xml:space="preserve">nsurance </w:t>
      </w:r>
      <w:r w:rsidR="00B74CD5">
        <w:t>A</w:t>
      </w:r>
      <w:r w:rsidR="002E36A5">
        <w:t xml:space="preserve">gency (NDIA) </w:t>
      </w:r>
      <w:r w:rsidR="00B74CD5">
        <w:t xml:space="preserve">and other </w:t>
      </w:r>
      <w:r>
        <w:t xml:space="preserve">housing </w:t>
      </w:r>
      <w:r w:rsidR="00B74CD5">
        <w:t>partners t</w:t>
      </w:r>
      <w:r>
        <w:t>o support</w:t>
      </w:r>
      <w:r w:rsidRPr="005D32FD">
        <w:t xml:space="preserve"> our </w:t>
      </w:r>
      <w:r>
        <w:t xml:space="preserve">vision </w:t>
      </w:r>
      <w:r w:rsidR="00B74CD5">
        <w:t xml:space="preserve">for housing and four </w:t>
      </w:r>
      <w:r w:rsidRPr="005D32FD">
        <w:t xml:space="preserve">principles and </w:t>
      </w:r>
      <w:r>
        <w:t xml:space="preserve">to </w:t>
      </w:r>
      <w:r w:rsidRPr="005D32FD">
        <w:t xml:space="preserve">use these to guide positive housing solutions for people with disability </w:t>
      </w:r>
      <w:r w:rsidR="00B74CD5">
        <w:t>as the NDIS rolls out in Queensland</w:t>
      </w:r>
      <w:r>
        <w:t>.</w:t>
      </w:r>
      <w:r w:rsidR="00B74CD5">
        <w:t xml:space="preserve">  </w:t>
      </w:r>
    </w:p>
    <w:p w:rsidR="00720A06" w:rsidRDefault="006C5D88" w:rsidP="007B28E8">
      <w:pPr>
        <w:jc w:val="both"/>
      </w:pPr>
      <w:r>
        <w:t xml:space="preserve">Furthermore QDN </w:t>
      </w:r>
      <w:r w:rsidR="001A01F8">
        <w:t xml:space="preserve">believes </w:t>
      </w:r>
      <w:r w:rsidR="00E82DCA">
        <w:t xml:space="preserve">that </w:t>
      </w:r>
      <w:r w:rsidR="002E36A5">
        <w:t xml:space="preserve">people with disability have </w:t>
      </w:r>
      <w:r w:rsidR="00281270">
        <w:t>similar housing goals - accessible, affordable and safe housing matched to their needs and choice</w:t>
      </w:r>
      <w:r w:rsidR="001A01F8">
        <w:t>s</w:t>
      </w:r>
      <w:r w:rsidR="00281270">
        <w:t xml:space="preserve"> and provided in a manner that safeguards their rights as tenants or home owners. </w:t>
      </w:r>
      <w:r w:rsidR="009E4068">
        <w:t xml:space="preserve">This </w:t>
      </w:r>
      <w:r w:rsidR="00930323">
        <w:t xml:space="preserve">expectation </w:t>
      </w:r>
      <w:r w:rsidR="009E4068">
        <w:t xml:space="preserve">is clearly </w:t>
      </w:r>
      <w:r w:rsidR="00881AC3">
        <w:t>enshrined</w:t>
      </w:r>
      <w:r w:rsidR="009E4068">
        <w:t xml:space="preserve"> in the United Nations Convention </w:t>
      </w:r>
      <w:r w:rsidR="000C5C7A">
        <w:t xml:space="preserve">on the Rights </w:t>
      </w:r>
      <w:r w:rsidR="009E4068">
        <w:t>of Persons with Disability (CRPD), 2006 and the National Disability Strategy (2011)</w:t>
      </w:r>
      <w:r w:rsidR="00DF724F">
        <w:t>.</w:t>
      </w:r>
      <w:r w:rsidR="009E4068">
        <w:t xml:space="preserve"> </w:t>
      </w:r>
    </w:p>
    <w:p w:rsidR="00281270" w:rsidRDefault="00281270" w:rsidP="002F707F">
      <w:pPr>
        <w:jc w:val="both"/>
      </w:pPr>
      <w:r>
        <w:t>QDN notes that current Commonwealth, State and Territory governments are currently grappling with how they can deliver on th</w:t>
      </w:r>
      <w:r w:rsidR="00FB11D8">
        <w:t xml:space="preserve">e </w:t>
      </w:r>
      <w:r w:rsidR="00C84214" w:rsidRPr="00C84214">
        <w:t xml:space="preserve">National Disability </w:t>
      </w:r>
      <w:r w:rsidR="00FB11D8">
        <w:t>Strategy.</w:t>
      </w:r>
      <w:r>
        <w:t xml:space="preserve"> As such, </w:t>
      </w:r>
      <w:r w:rsidR="00930323">
        <w:t xml:space="preserve">QDN </w:t>
      </w:r>
      <w:r w:rsidR="00930323">
        <w:lastRenderedPageBreak/>
        <w:t xml:space="preserve">recommends that </w:t>
      </w:r>
      <w:r>
        <w:t xml:space="preserve">the overarching issue of accessible, affordable </w:t>
      </w:r>
      <w:r w:rsidR="00C84214">
        <w:t>housing</w:t>
      </w:r>
      <w:r>
        <w:t xml:space="preserve"> and </w:t>
      </w:r>
      <w:r w:rsidR="002E36A5">
        <w:t xml:space="preserve">accommodation for people within the NDIS </w:t>
      </w:r>
      <w:r>
        <w:t xml:space="preserve">as a component of this, </w:t>
      </w:r>
      <w:r w:rsidR="00FB11D8">
        <w:t xml:space="preserve">in delivering on the National Disability Strategy </w:t>
      </w:r>
      <w:r>
        <w:t xml:space="preserve">be placed as a standing item on </w:t>
      </w:r>
      <w:r w:rsidR="00C84214">
        <w:t xml:space="preserve">the </w:t>
      </w:r>
      <w:r>
        <w:t>C</w:t>
      </w:r>
      <w:r w:rsidR="000C70F4">
        <w:t xml:space="preserve">ouncil </w:t>
      </w:r>
      <w:r w:rsidR="0098292D">
        <w:t>of Australian</w:t>
      </w:r>
      <w:r w:rsidR="000C70F4">
        <w:t xml:space="preserve"> </w:t>
      </w:r>
      <w:r>
        <w:t>G</w:t>
      </w:r>
      <w:r w:rsidR="000C70F4">
        <w:t>overnments</w:t>
      </w:r>
      <w:r>
        <w:t>’</w:t>
      </w:r>
      <w:r w:rsidR="000C70F4">
        <w:t xml:space="preserve"> (COAG)</w:t>
      </w:r>
      <w:r>
        <w:t xml:space="preserve"> Disability Reform Agenda. </w:t>
      </w:r>
      <w:r w:rsidR="002111ED">
        <w:t xml:space="preserve">QDN urges </w:t>
      </w:r>
      <w:r w:rsidR="00FB11D8">
        <w:t xml:space="preserve">State, Territory and Commonwealth Governments </w:t>
      </w:r>
      <w:r w:rsidR="002111ED">
        <w:t xml:space="preserve">to </w:t>
      </w:r>
      <w:r>
        <w:t xml:space="preserve">work collaboratively </w:t>
      </w:r>
      <w:r w:rsidR="00366064">
        <w:t xml:space="preserve">with private sector and community organisations </w:t>
      </w:r>
      <w:r>
        <w:t>to address both housing components in an integrated, collaborati</w:t>
      </w:r>
      <w:r w:rsidR="00930323">
        <w:t>v</w:t>
      </w:r>
      <w:r>
        <w:t>e manner</w:t>
      </w:r>
      <w:r w:rsidR="00930323">
        <w:t>.  T</w:t>
      </w:r>
      <w:r>
        <w:t>his</w:t>
      </w:r>
      <w:r w:rsidR="00930323">
        <w:t xml:space="preserve"> is a </w:t>
      </w:r>
      <w:r>
        <w:t xml:space="preserve">fundamental survival issue for Australians with disability. </w:t>
      </w:r>
    </w:p>
    <w:p w:rsidR="0013591C" w:rsidRPr="005D32FD" w:rsidRDefault="0013591C" w:rsidP="002F707F">
      <w:pPr>
        <w:tabs>
          <w:tab w:val="left" w:pos="6804"/>
        </w:tabs>
        <w:ind w:right="-22"/>
        <w:jc w:val="both"/>
      </w:pPr>
      <w:r>
        <w:t xml:space="preserve">QDN acknowledges the role and work of our </w:t>
      </w:r>
      <w:r w:rsidR="00B74CD5">
        <w:t xml:space="preserve">members, </w:t>
      </w:r>
      <w:r w:rsidR="00E54C13">
        <w:t xml:space="preserve">Housing Champions </w:t>
      </w:r>
      <w:r w:rsidR="00B74CD5">
        <w:t>and a</w:t>
      </w:r>
      <w:r>
        <w:t>l</w:t>
      </w:r>
      <w:r w:rsidR="00B74CD5">
        <w:t>l</w:t>
      </w:r>
      <w:r>
        <w:t xml:space="preserve">ies </w:t>
      </w:r>
      <w:r w:rsidR="00B74CD5">
        <w:t>i</w:t>
      </w:r>
      <w:r>
        <w:t xml:space="preserve">n </w:t>
      </w:r>
      <w:r w:rsidR="00B74CD5">
        <w:t xml:space="preserve">formulating this response and looks forward to further opportunities to contribute to the </w:t>
      </w:r>
      <w:r w:rsidR="002F707F">
        <w:t xml:space="preserve">housing </w:t>
      </w:r>
      <w:r w:rsidR="00B74CD5">
        <w:t xml:space="preserve">policy landscape. </w:t>
      </w:r>
      <w:r>
        <w:t xml:space="preserve"> </w:t>
      </w:r>
    </w:p>
    <w:p w:rsidR="00900C9B" w:rsidRDefault="00900C9B" w:rsidP="002F707F">
      <w:pPr>
        <w:jc w:val="both"/>
      </w:pPr>
    </w:p>
    <w:p w:rsidR="00AB16C1" w:rsidRPr="000142B5" w:rsidRDefault="00C5660C" w:rsidP="00E61D02">
      <w:pPr>
        <w:jc w:val="both"/>
      </w:pPr>
      <w:r>
        <w:t>Queenslan</w:t>
      </w:r>
      <w:r w:rsidR="001A20B9">
        <w:t xml:space="preserve">ders with Disability Network – </w:t>
      </w:r>
      <w:r w:rsidR="00FE08DC">
        <w:t xml:space="preserve">16 </w:t>
      </w:r>
      <w:r w:rsidR="000142B5">
        <w:t>March</w:t>
      </w:r>
      <w:r w:rsidR="00846917">
        <w:t xml:space="preserve"> </w:t>
      </w:r>
      <w:r w:rsidR="00660874">
        <w:t>2016</w:t>
      </w:r>
      <w:r w:rsidR="000142B5">
        <w:tab/>
      </w:r>
    </w:p>
    <w:sectPr w:rsidR="00AB16C1" w:rsidRPr="000142B5" w:rsidSect="00B92074">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40" w:right="1440" w:bottom="1440" w:left="1440" w:header="426" w:footer="6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5A0" w:rsidRDefault="00B215A0" w:rsidP="00E64E00">
      <w:r>
        <w:separator/>
      </w:r>
    </w:p>
  </w:endnote>
  <w:endnote w:type="continuationSeparator" w:id="0">
    <w:p w:rsidR="00B215A0" w:rsidRDefault="00B215A0" w:rsidP="00E64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619849"/>
      <w:docPartObj>
        <w:docPartGallery w:val="Page Numbers (Bottom of Page)"/>
        <w:docPartUnique/>
      </w:docPartObj>
    </w:sdtPr>
    <w:sdtEndPr>
      <w:rPr>
        <w:color w:val="7F7F7F" w:themeColor="background1" w:themeShade="7F"/>
        <w:spacing w:val="60"/>
      </w:rPr>
    </w:sdtEndPr>
    <w:sdtContent>
      <w:p w:rsidR="002F707F" w:rsidRDefault="002F707F" w:rsidP="00D5236C">
        <w:pPr>
          <w:pStyle w:val="Footer"/>
        </w:pPr>
        <w:r>
          <w:t xml:space="preserve">Queenslanders with Disability Network LTD          </w:t>
        </w:r>
        <w:r>
          <w:tab/>
          <w:t xml:space="preserve">NDIA Specialist Disability Accommodation </w:t>
        </w:r>
        <w:r>
          <w:tab/>
        </w:r>
        <w:r>
          <w:tab/>
        </w:r>
      </w:p>
      <w:p w:rsidR="002F707F" w:rsidRDefault="002F707F" w:rsidP="00E64E00">
        <w:pPr>
          <w:pStyle w:val="Footer"/>
        </w:pPr>
        <w:r>
          <w:t xml:space="preserve"> </w:t>
        </w:r>
        <w:r>
          <w:tab/>
        </w:r>
        <w:r>
          <w:tab/>
          <w:t>Pricing and Payment Framework</w:t>
        </w:r>
      </w:p>
      <w:p w:rsidR="002F707F" w:rsidRDefault="002F707F" w:rsidP="00E64E00">
        <w:pPr>
          <w:pStyle w:val="Footer"/>
        </w:pPr>
        <w:r>
          <w:tab/>
          <w:t xml:space="preserve">                                                    </w:t>
        </w:r>
        <w:r>
          <w:tab/>
        </w:r>
        <w:r w:rsidR="00B92074">
          <w:t>10</w:t>
        </w:r>
        <w:r>
          <w:t xml:space="preserve"> March 2016</w:t>
        </w:r>
        <w:r>
          <w:tab/>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085025"/>
      <w:docPartObj>
        <w:docPartGallery w:val="Page Numbers (Bottom of Page)"/>
        <w:docPartUnique/>
      </w:docPartObj>
    </w:sdtPr>
    <w:sdtEndPr>
      <w:rPr>
        <w:color w:val="7F7F7F" w:themeColor="background1" w:themeShade="7F"/>
        <w:spacing w:val="60"/>
      </w:rPr>
    </w:sdtEndPr>
    <w:sdtContent>
      <w:p w:rsidR="00B92074" w:rsidRDefault="00B92074" w:rsidP="005F6A27">
        <w:pPr>
          <w:pStyle w:val="Footer"/>
          <w:pBdr>
            <w:top w:val="single" w:sz="4" w:space="1" w:color="auto"/>
          </w:pBdr>
          <w:tabs>
            <w:tab w:val="clear" w:pos="4513"/>
          </w:tabs>
          <w:jc w:val="right"/>
        </w:pPr>
        <w:r>
          <w:t xml:space="preserve">Queenslanders with Disability Network LTD          </w:t>
        </w:r>
        <w:r>
          <w:tab/>
        </w:r>
        <w:r w:rsidR="005F6A27">
          <w:t xml:space="preserve"> </w:t>
        </w:r>
        <w:r w:rsidR="00D80C74">
          <w:t>Joint</w:t>
        </w:r>
        <w:r w:rsidR="005F6A27">
          <w:t xml:space="preserve"> Standing Committee on the NDIS</w:t>
        </w:r>
      </w:p>
      <w:p w:rsidR="005F6A27" w:rsidRDefault="005F6A27" w:rsidP="005F6A27">
        <w:pPr>
          <w:pStyle w:val="Footer"/>
          <w:tabs>
            <w:tab w:val="clear" w:pos="4513"/>
            <w:tab w:val="left" w:pos="3544"/>
          </w:tabs>
          <w:jc w:val="right"/>
        </w:pPr>
        <w:r>
          <w:tab/>
        </w:r>
        <w:r w:rsidR="00D80C74">
          <w:t>Accommodation for people with disability and the NDIS</w:t>
        </w:r>
      </w:p>
      <w:p w:rsidR="00B92074" w:rsidRDefault="005F6A27" w:rsidP="006148F9">
        <w:pPr>
          <w:pStyle w:val="Footer"/>
          <w:tabs>
            <w:tab w:val="clear" w:pos="4513"/>
            <w:tab w:val="left" w:pos="3402"/>
            <w:tab w:val="left" w:pos="7513"/>
          </w:tabs>
          <w:jc w:val="right"/>
        </w:pPr>
        <w:r>
          <w:tab/>
        </w:r>
        <w:r>
          <w:tab/>
        </w:r>
        <w:r w:rsidR="00D80C74">
          <w:t xml:space="preserve">16 </w:t>
        </w:r>
        <w:r>
          <w:t>March 2016</w:t>
        </w:r>
      </w:p>
    </w:sdtContent>
  </w:sdt>
  <w:p w:rsidR="002F707F" w:rsidRDefault="002F707F" w:rsidP="00E64E00">
    <w:pPr>
      <w:pStyle w:val="Footer"/>
    </w:pPr>
  </w:p>
  <w:p w:rsidR="002F707F" w:rsidRDefault="002F707F" w:rsidP="00E64E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958" w:rsidRDefault="001239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5A0" w:rsidRDefault="00B215A0" w:rsidP="00E64E00">
      <w:r>
        <w:separator/>
      </w:r>
    </w:p>
  </w:footnote>
  <w:footnote w:type="continuationSeparator" w:id="0">
    <w:p w:rsidR="00B215A0" w:rsidRDefault="00B215A0" w:rsidP="00E64E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812972257"/>
      <w:docPartObj>
        <w:docPartGallery w:val="Page Numbers (Top of Page)"/>
        <w:docPartUnique/>
      </w:docPartObj>
    </w:sdtPr>
    <w:sdtEndPr>
      <w:rPr>
        <w:b/>
        <w:bCs/>
        <w:noProof/>
        <w:color w:val="auto"/>
        <w:spacing w:val="0"/>
      </w:rPr>
    </w:sdtEndPr>
    <w:sdtContent>
      <w:p w:rsidR="002F707F" w:rsidRDefault="002F707F" w:rsidP="00E64E00">
        <w:pPr>
          <w:pStyle w:val="Header"/>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B92074" w:rsidRPr="00B92074">
          <w:rPr>
            <w:b/>
            <w:bCs/>
            <w:noProof/>
          </w:rPr>
          <w:t>2</w:t>
        </w:r>
        <w:r>
          <w:rPr>
            <w:b/>
            <w:bCs/>
            <w:noProof/>
          </w:rPr>
          <w:fldChar w:fldCharType="end"/>
        </w:r>
      </w:p>
    </w:sdtContent>
  </w:sdt>
  <w:p w:rsidR="002F707F" w:rsidRDefault="002F707F" w:rsidP="00E64E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261378778"/>
      <w:docPartObj>
        <w:docPartGallery w:val="Page Numbers (Top of Page)"/>
        <w:docPartUnique/>
      </w:docPartObj>
    </w:sdtPr>
    <w:sdtEndPr>
      <w:rPr>
        <w:b/>
        <w:bCs/>
        <w:noProof/>
        <w:color w:val="auto"/>
        <w:spacing w:val="0"/>
      </w:rPr>
    </w:sdtEndPr>
    <w:sdtContent>
      <w:p w:rsidR="002F707F" w:rsidRDefault="002F707F" w:rsidP="00E64E00">
        <w:pPr>
          <w:pStyle w:val="Header"/>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854C2A" w:rsidRPr="00854C2A">
          <w:rPr>
            <w:b/>
            <w:bCs/>
            <w:noProof/>
          </w:rPr>
          <w:t>3</w:t>
        </w:r>
        <w:r>
          <w:rPr>
            <w:b/>
            <w:bCs/>
            <w:noProof/>
          </w:rPr>
          <w:fldChar w:fldCharType="end"/>
        </w:r>
      </w:p>
    </w:sdtContent>
  </w:sdt>
  <w:p w:rsidR="002F707F" w:rsidRDefault="002F707F" w:rsidP="00E64E00">
    <w:pPr>
      <w:pStyle w:val="Header"/>
    </w:pPr>
  </w:p>
  <w:p w:rsidR="002F707F" w:rsidRDefault="002F707F" w:rsidP="00E64E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958" w:rsidRDefault="001239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416E"/>
    <w:multiLevelType w:val="hybridMultilevel"/>
    <w:tmpl w:val="966E83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1CC2817"/>
    <w:multiLevelType w:val="hybridMultilevel"/>
    <w:tmpl w:val="66C2BB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D56830"/>
    <w:multiLevelType w:val="hybridMultilevel"/>
    <w:tmpl w:val="90208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2EF33EA"/>
    <w:multiLevelType w:val="hybridMultilevel"/>
    <w:tmpl w:val="5F2CA862"/>
    <w:lvl w:ilvl="0" w:tplc="57DC088E">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3005650"/>
    <w:multiLevelType w:val="hybridMultilevel"/>
    <w:tmpl w:val="0BF89C26"/>
    <w:lvl w:ilvl="0" w:tplc="71A8990C">
      <w:start w:val="1"/>
      <w:numFmt w:val="bullet"/>
      <w:lvlText w:val=""/>
      <w:lvlJc w:val="left"/>
      <w:pPr>
        <w:ind w:left="1080" w:hanging="72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4E57BBF"/>
    <w:multiLevelType w:val="hybridMultilevel"/>
    <w:tmpl w:val="343C4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88928AB"/>
    <w:multiLevelType w:val="hybridMultilevel"/>
    <w:tmpl w:val="BBCADA20"/>
    <w:lvl w:ilvl="0" w:tplc="DEE48CEC">
      <w:start w:val="2"/>
      <w:numFmt w:val="bullet"/>
      <w:lvlText w:val="•"/>
      <w:lvlJc w:val="left"/>
      <w:pPr>
        <w:ind w:left="1080" w:hanging="720"/>
      </w:pPr>
      <w:rPr>
        <w:rFonts w:ascii="Calibri" w:eastAsiaTheme="majorEastAsia" w:hAnsi="Calibri"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B31049C"/>
    <w:multiLevelType w:val="hybridMultilevel"/>
    <w:tmpl w:val="EBA832D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68DAD10A">
      <w:start w:val="1"/>
      <w:numFmt w:val="lowerLetter"/>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0636A2B"/>
    <w:multiLevelType w:val="hybridMultilevel"/>
    <w:tmpl w:val="869209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0D43828"/>
    <w:multiLevelType w:val="hybridMultilevel"/>
    <w:tmpl w:val="3CE8E792"/>
    <w:lvl w:ilvl="0" w:tplc="0C09000F">
      <w:start w:val="1"/>
      <w:numFmt w:val="decimal"/>
      <w:lvlText w:val="%1."/>
      <w:lvlJc w:val="left"/>
      <w:pPr>
        <w:ind w:left="1494" w:hanging="360"/>
      </w:p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0">
    <w:nsid w:val="17E60289"/>
    <w:multiLevelType w:val="hybridMultilevel"/>
    <w:tmpl w:val="2FDEB326"/>
    <w:lvl w:ilvl="0" w:tplc="DEE48CEC">
      <w:start w:val="2"/>
      <w:numFmt w:val="bullet"/>
      <w:lvlText w:val="•"/>
      <w:lvlJc w:val="left"/>
      <w:pPr>
        <w:ind w:left="1440" w:hanging="720"/>
      </w:pPr>
      <w:rPr>
        <w:rFonts w:ascii="Calibri" w:eastAsiaTheme="majorEastAsia" w:hAnsi="Calibri" w:cstheme="maj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1ABC556E"/>
    <w:multiLevelType w:val="hybridMultilevel"/>
    <w:tmpl w:val="3C98E304"/>
    <w:lvl w:ilvl="0" w:tplc="DEE48CEC">
      <w:start w:val="2"/>
      <w:numFmt w:val="bullet"/>
      <w:lvlText w:val="•"/>
      <w:lvlJc w:val="left"/>
      <w:pPr>
        <w:ind w:left="1080" w:hanging="720"/>
      </w:pPr>
      <w:rPr>
        <w:rFonts w:ascii="Calibri" w:eastAsiaTheme="majorEastAsia" w:hAnsi="Calibri"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C30024B"/>
    <w:multiLevelType w:val="hybridMultilevel"/>
    <w:tmpl w:val="6C8E0F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E7F2FC3"/>
    <w:multiLevelType w:val="hybridMultilevel"/>
    <w:tmpl w:val="DDB60A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1B66A54"/>
    <w:multiLevelType w:val="multilevel"/>
    <w:tmpl w:val="AFA26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5957006"/>
    <w:multiLevelType w:val="hybridMultilevel"/>
    <w:tmpl w:val="E5E88C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B0F185E"/>
    <w:multiLevelType w:val="hybridMultilevel"/>
    <w:tmpl w:val="F918CE14"/>
    <w:lvl w:ilvl="0" w:tplc="DEE48CEC">
      <w:start w:val="2"/>
      <w:numFmt w:val="bullet"/>
      <w:lvlText w:val="•"/>
      <w:lvlJc w:val="left"/>
      <w:pPr>
        <w:ind w:left="1080" w:hanging="720"/>
      </w:pPr>
      <w:rPr>
        <w:rFonts w:ascii="Calibri" w:eastAsiaTheme="majorEastAsia" w:hAnsi="Calibri"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B192A8E"/>
    <w:multiLevelType w:val="hybridMultilevel"/>
    <w:tmpl w:val="89505866"/>
    <w:lvl w:ilvl="0" w:tplc="71A8990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D0E2326"/>
    <w:multiLevelType w:val="hybridMultilevel"/>
    <w:tmpl w:val="3A74CF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38C4797"/>
    <w:multiLevelType w:val="hybridMultilevel"/>
    <w:tmpl w:val="7D886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C6C4253"/>
    <w:multiLevelType w:val="hybridMultilevel"/>
    <w:tmpl w:val="46AE0E70"/>
    <w:lvl w:ilvl="0" w:tplc="71A8990C">
      <w:start w:val="1"/>
      <w:numFmt w:val="bullet"/>
      <w:lvlText w:val=""/>
      <w:lvlJc w:val="left"/>
      <w:pPr>
        <w:ind w:left="1080" w:hanging="72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CBC42D0"/>
    <w:multiLevelType w:val="hybridMultilevel"/>
    <w:tmpl w:val="B86464C8"/>
    <w:lvl w:ilvl="0" w:tplc="DEE48CEC">
      <w:start w:val="2"/>
      <w:numFmt w:val="bullet"/>
      <w:lvlText w:val="•"/>
      <w:lvlJc w:val="left"/>
      <w:pPr>
        <w:ind w:left="1080" w:hanging="720"/>
      </w:pPr>
      <w:rPr>
        <w:rFonts w:ascii="Calibri" w:eastAsiaTheme="majorEastAsia" w:hAnsi="Calibri"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1837C61"/>
    <w:multiLevelType w:val="hybridMultilevel"/>
    <w:tmpl w:val="CD2A6548"/>
    <w:lvl w:ilvl="0" w:tplc="68DAD10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1E24F45"/>
    <w:multiLevelType w:val="hybridMultilevel"/>
    <w:tmpl w:val="819EEF8E"/>
    <w:lvl w:ilvl="0" w:tplc="71A8990C">
      <w:start w:val="1"/>
      <w:numFmt w:val="bullet"/>
      <w:lvlText w:val=""/>
      <w:lvlJc w:val="left"/>
      <w:pPr>
        <w:ind w:left="720" w:hanging="360"/>
      </w:pPr>
      <w:rPr>
        <w:rFonts w:ascii="Symbol" w:hAnsi="Symbol" w:hint="default"/>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6224090"/>
    <w:multiLevelType w:val="hybridMultilevel"/>
    <w:tmpl w:val="2AD22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6FC641A"/>
    <w:multiLevelType w:val="hybridMultilevel"/>
    <w:tmpl w:val="0C7072B8"/>
    <w:lvl w:ilvl="0" w:tplc="DEE48CEC">
      <w:start w:val="2"/>
      <w:numFmt w:val="bullet"/>
      <w:lvlText w:val="•"/>
      <w:lvlJc w:val="left"/>
      <w:pPr>
        <w:ind w:left="1080" w:hanging="720"/>
      </w:pPr>
      <w:rPr>
        <w:rFonts w:ascii="Calibri" w:eastAsiaTheme="majorEastAsia" w:hAnsi="Calibri"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9601A0D"/>
    <w:multiLevelType w:val="hybridMultilevel"/>
    <w:tmpl w:val="1BCE23FC"/>
    <w:lvl w:ilvl="0" w:tplc="0C090001">
      <w:start w:val="1"/>
      <w:numFmt w:val="bullet"/>
      <w:lvlText w:val=""/>
      <w:lvlJc w:val="left"/>
      <w:pPr>
        <w:ind w:left="76" w:hanging="360"/>
      </w:pPr>
      <w:rPr>
        <w:rFonts w:ascii="Symbol" w:hAnsi="Symbol" w:hint="default"/>
      </w:rPr>
    </w:lvl>
    <w:lvl w:ilvl="1" w:tplc="0C090003" w:tentative="1">
      <w:start w:val="1"/>
      <w:numFmt w:val="bullet"/>
      <w:lvlText w:val="o"/>
      <w:lvlJc w:val="left"/>
      <w:pPr>
        <w:ind w:left="796" w:hanging="360"/>
      </w:pPr>
      <w:rPr>
        <w:rFonts w:ascii="Courier New" w:hAnsi="Courier New" w:cs="Courier New" w:hint="default"/>
      </w:rPr>
    </w:lvl>
    <w:lvl w:ilvl="2" w:tplc="0C090005" w:tentative="1">
      <w:start w:val="1"/>
      <w:numFmt w:val="bullet"/>
      <w:lvlText w:val=""/>
      <w:lvlJc w:val="left"/>
      <w:pPr>
        <w:ind w:left="1516" w:hanging="360"/>
      </w:pPr>
      <w:rPr>
        <w:rFonts w:ascii="Wingdings" w:hAnsi="Wingdings" w:hint="default"/>
      </w:rPr>
    </w:lvl>
    <w:lvl w:ilvl="3" w:tplc="0C090001" w:tentative="1">
      <w:start w:val="1"/>
      <w:numFmt w:val="bullet"/>
      <w:lvlText w:val=""/>
      <w:lvlJc w:val="left"/>
      <w:pPr>
        <w:ind w:left="2236" w:hanging="360"/>
      </w:pPr>
      <w:rPr>
        <w:rFonts w:ascii="Symbol" w:hAnsi="Symbol" w:hint="default"/>
      </w:rPr>
    </w:lvl>
    <w:lvl w:ilvl="4" w:tplc="0C090003" w:tentative="1">
      <w:start w:val="1"/>
      <w:numFmt w:val="bullet"/>
      <w:lvlText w:val="o"/>
      <w:lvlJc w:val="left"/>
      <w:pPr>
        <w:ind w:left="2956" w:hanging="360"/>
      </w:pPr>
      <w:rPr>
        <w:rFonts w:ascii="Courier New" w:hAnsi="Courier New" w:cs="Courier New" w:hint="default"/>
      </w:rPr>
    </w:lvl>
    <w:lvl w:ilvl="5" w:tplc="0C090005" w:tentative="1">
      <w:start w:val="1"/>
      <w:numFmt w:val="bullet"/>
      <w:lvlText w:val=""/>
      <w:lvlJc w:val="left"/>
      <w:pPr>
        <w:ind w:left="3676" w:hanging="360"/>
      </w:pPr>
      <w:rPr>
        <w:rFonts w:ascii="Wingdings" w:hAnsi="Wingdings" w:hint="default"/>
      </w:rPr>
    </w:lvl>
    <w:lvl w:ilvl="6" w:tplc="0C090001" w:tentative="1">
      <w:start w:val="1"/>
      <w:numFmt w:val="bullet"/>
      <w:lvlText w:val=""/>
      <w:lvlJc w:val="left"/>
      <w:pPr>
        <w:ind w:left="4396" w:hanging="360"/>
      </w:pPr>
      <w:rPr>
        <w:rFonts w:ascii="Symbol" w:hAnsi="Symbol" w:hint="default"/>
      </w:rPr>
    </w:lvl>
    <w:lvl w:ilvl="7" w:tplc="0C090003" w:tentative="1">
      <w:start w:val="1"/>
      <w:numFmt w:val="bullet"/>
      <w:lvlText w:val="o"/>
      <w:lvlJc w:val="left"/>
      <w:pPr>
        <w:ind w:left="5116" w:hanging="360"/>
      </w:pPr>
      <w:rPr>
        <w:rFonts w:ascii="Courier New" w:hAnsi="Courier New" w:cs="Courier New" w:hint="default"/>
      </w:rPr>
    </w:lvl>
    <w:lvl w:ilvl="8" w:tplc="0C090005" w:tentative="1">
      <w:start w:val="1"/>
      <w:numFmt w:val="bullet"/>
      <w:lvlText w:val=""/>
      <w:lvlJc w:val="left"/>
      <w:pPr>
        <w:ind w:left="5836" w:hanging="360"/>
      </w:pPr>
      <w:rPr>
        <w:rFonts w:ascii="Wingdings" w:hAnsi="Wingdings" w:hint="default"/>
      </w:rPr>
    </w:lvl>
  </w:abstractNum>
  <w:abstractNum w:abstractNumId="27">
    <w:nsid w:val="49E50CE4"/>
    <w:multiLevelType w:val="hybridMultilevel"/>
    <w:tmpl w:val="65D4E5C4"/>
    <w:lvl w:ilvl="0" w:tplc="DEE48CEC">
      <w:start w:val="2"/>
      <w:numFmt w:val="bullet"/>
      <w:lvlText w:val="•"/>
      <w:lvlJc w:val="left"/>
      <w:pPr>
        <w:ind w:left="1440" w:hanging="720"/>
      </w:pPr>
      <w:rPr>
        <w:rFonts w:ascii="Calibri" w:eastAsiaTheme="majorEastAsia" w:hAnsi="Calibri" w:cstheme="maj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nsid w:val="521E0589"/>
    <w:multiLevelType w:val="hybridMultilevel"/>
    <w:tmpl w:val="E2CEB3BC"/>
    <w:lvl w:ilvl="0" w:tplc="DEE48CEC">
      <w:start w:val="2"/>
      <w:numFmt w:val="bullet"/>
      <w:lvlText w:val="•"/>
      <w:lvlJc w:val="left"/>
      <w:pPr>
        <w:ind w:left="1080" w:hanging="720"/>
      </w:pPr>
      <w:rPr>
        <w:rFonts w:ascii="Calibri" w:eastAsiaTheme="majorEastAsia" w:hAnsi="Calibri"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6A4071E"/>
    <w:multiLevelType w:val="hybridMultilevel"/>
    <w:tmpl w:val="55F293FA"/>
    <w:lvl w:ilvl="0" w:tplc="71A8990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6D6231D"/>
    <w:multiLevelType w:val="hybridMultilevel"/>
    <w:tmpl w:val="8DE4C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7274958"/>
    <w:multiLevelType w:val="hybridMultilevel"/>
    <w:tmpl w:val="F892A8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BC26234"/>
    <w:multiLevelType w:val="hybridMultilevel"/>
    <w:tmpl w:val="873A6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D2A6E4F"/>
    <w:multiLevelType w:val="hybridMultilevel"/>
    <w:tmpl w:val="3F62EE8E"/>
    <w:lvl w:ilvl="0" w:tplc="DEE48CEC">
      <w:start w:val="2"/>
      <w:numFmt w:val="bullet"/>
      <w:lvlText w:val="•"/>
      <w:lvlJc w:val="left"/>
      <w:pPr>
        <w:ind w:left="1440" w:hanging="720"/>
      </w:pPr>
      <w:rPr>
        <w:rFonts w:ascii="Calibri" w:eastAsiaTheme="majorEastAsia" w:hAnsi="Calibri" w:cstheme="maj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nsid w:val="66A633F6"/>
    <w:multiLevelType w:val="hybridMultilevel"/>
    <w:tmpl w:val="8B18B2C0"/>
    <w:lvl w:ilvl="0" w:tplc="0C090001">
      <w:start w:val="1"/>
      <w:numFmt w:val="bullet"/>
      <w:lvlText w:val=""/>
      <w:lvlJc w:val="left"/>
      <w:pPr>
        <w:ind w:left="720" w:hanging="360"/>
      </w:pPr>
      <w:rPr>
        <w:rFonts w:ascii="Symbol" w:hAnsi="Symbol" w:hint="default"/>
      </w:rPr>
    </w:lvl>
    <w:lvl w:ilvl="1" w:tplc="199CC890">
      <w:start w:val="2"/>
      <w:numFmt w:val="bullet"/>
      <w:lvlText w:val="-"/>
      <w:lvlJc w:val="left"/>
      <w:pPr>
        <w:ind w:left="1440" w:hanging="360"/>
      </w:pPr>
      <w:rPr>
        <w:rFonts w:ascii="Calibri" w:eastAsiaTheme="minorHAnsi" w:hAnsi="Calibri" w:cs="Aria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6D1259A"/>
    <w:multiLevelType w:val="hybridMultilevel"/>
    <w:tmpl w:val="997EE95E"/>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36">
    <w:nsid w:val="66EA5926"/>
    <w:multiLevelType w:val="hybridMultilevel"/>
    <w:tmpl w:val="D6BA14B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83038FF"/>
    <w:multiLevelType w:val="hybridMultilevel"/>
    <w:tmpl w:val="8A2E9168"/>
    <w:lvl w:ilvl="0" w:tplc="0C09000F">
      <w:start w:val="1"/>
      <w:numFmt w:val="decimal"/>
      <w:lvlText w:val="%1."/>
      <w:lvlJc w:val="left"/>
      <w:pPr>
        <w:ind w:left="1494" w:hanging="360"/>
      </w:p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38">
    <w:nsid w:val="6943790B"/>
    <w:multiLevelType w:val="hybridMultilevel"/>
    <w:tmpl w:val="BC0CA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012417F"/>
    <w:multiLevelType w:val="hybridMultilevel"/>
    <w:tmpl w:val="3CF62F76"/>
    <w:lvl w:ilvl="0" w:tplc="71A8990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nsid w:val="7F1521F3"/>
    <w:multiLevelType w:val="hybridMultilevel"/>
    <w:tmpl w:val="21C4D4CE"/>
    <w:lvl w:ilvl="0" w:tplc="71A8990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9"/>
  </w:num>
  <w:num w:numId="2">
    <w:abstractNumId w:val="5"/>
  </w:num>
  <w:num w:numId="3">
    <w:abstractNumId w:val="15"/>
  </w:num>
  <w:num w:numId="4">
    <w:abstractNumId w:val="30"/>
  </w:num>
  <w:num w:numId="5">
    <w:abstractNumId w:val="24"/>
  </w:num>
  <w:num w:numId="6">
    <w:abstractNumId w:val="14"/>
  </w:num>
  <w:num w:numId="7">
    <w:abstractNumId w:val="18"/>
  </w:num>
  <w:num w:numId="8">
    <w:abstractNumId w:val="26"/>
  </w:num>
  <w:num w:numId="9">
    <w:abstractNumId w:val="35"/>
  </w:num>
  <w:num w:numId="10">
    <w:abstractNumId w:val="19"/>
  </w:num>
  <w:num w:numId="11">
    <w:abstractNumId w:val="13"/>
  </w:num>
  <w:num w:numId="12">
    <w:abstractNumId w:val="8"/>
  </w:num>
  <w:num w:numId="13">
    <w:abstractNumId w:val="36"/>
  </w:num>
  <w:num w:numId="14">
    <w:abstractNumId w:val="7"/>
  </w:num>
  <w:num w:numId="15">
    <w:abstractNumId w:val="3"/>
  </w:num>
  <w:num w:numId="16">
    <w:abstractNumId w:val="0"/>
  </w:num>
  <w:num w:numId="17">
    <w:abstractNumId w:val="34"/>
  </w:num>
  <w:num w:numId="18">
    <w:abstractNumId w:val="12"/>
  </w:num>
  <w:num w:numId="19">
    <w:abstractNumId w:val="38"/>
  </w:num>
  <w:num w:numId="20">
    <w:abstractNumId w:val="2"/>
  </w:num>
  <w:num w:numId="21">
    <w:abstractNumId w:val="1"/>
  </w:num>
  <w:num w:numId="22">
    <w:abstractNumId w:val="32"/>
  </w:num>
  <w:num w:numId="23">
    <w:abstractNumId w:val="28"/>
  </w:num>
  <w:num w:numId="24">
    <w:abstractNumId w:val="33"/>
  </w:num>
  <w:num w:numId="25">
    <w:abstractNumId w:val="10"/>
  </w:num>
  <w:num w:numId="26">
    <w:abstractNumId w:val="6"/>
  </w:num>
  <w:num w:numId="27">
    <w:abstractNumId w:val="25"/>
  </w:num>
  <w:num w:numId="28">
    <w:abstractNumId w:val="27"/>
  </w:num>
  <w:num w:numId="29">
    <w:abstractNumId w:val="21"/>
  </w:num>
  <w:num w:numId="30">
    <w:abstractNumId w:val="37"/>
  </w:num>
  <w:num w:numId="31">
    <w:abstractNumId w:val="9"/>
  </w:num>
  <w:num w:numId="32">
    <w:abstractNumId w:val="31"/>
  </w:num>
  <w:num w:numId="33">
    <w:abstractNumId w:val="22"/>
  </w:num>
  <w:num w:numId="34">
    <w:abstractNumId w:val="16"/>
  </w:num>
  <w:num w:numId="35">
    <w:abstractNumId w:val="11"/>
  </w:num>
  <w:num w:numId="36">
    <w:abstractNumId w:val="4"/>
  </w:num>
  <w:num w:numId="37">
    <w:abstractNumId w:val="40"/>
  </w:num>
  <w:num w:numId="38">
    <w:abstractNumId w:val="17"/>
  </w:num>
  <w:num w:numId="39">
    <w:abstractNumId w:val="23"/>
  </w:num>
  <w:num w:numId="40">
    <w:abstractNumId w:val="29"/>
  </w:num>
  <w:num w:numId="41">
    <w:abstractNumId w:val="20"/>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elle Moss">
    <w15:presenceInfo w15:providerId="Windows Live" w15:userId="bcb7f5b2e773c7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FF6"/>
    <w:rsid w:val="00007583"/>
    <w:rsid w:val="00013726"/>
    <w:rsid w:val="000142B5"/>
    <w:rsid w:val="000172AE"/>
    <w:rsid w:val="000204CA"/>
    <w:rsid w:val="00020665"/>
    <w:rsid w:val="000266B3"/>
    <w:rsid w:val="000316A1"/>
    <w:rsid w:val="0003665D"/>
    <w:rsid w:val="00044060"/>
    <w:rsid w:val="00050C96"/>
    <w:rsid w:val="000709D1"/>
    <w:rsid w:val="0007119C"/>
    <w:rsid w:val="00072524"/>
    <w:rsid w:val="00075465"/>
    <w:rsid w:val="00076536"/>
    <w:rsid w:val="0008034C"/>
    <w:rsid w:val="000807B7"/>
    <w:rsid w:val="00085F92"/>
    <w:rsid w:val="00095E80"/>
    <w:rsid w:val="000A542F"/>
    <w:rsid w:val="000B13F5"/>
    <w:rsid w:val="000B69AD"/>
    <w:rsid w:val="000C01EF"/>
    <w:rsid w:val="000C067A"/>
    <w:rsid w:val="000C358B"/>
    <w:rsid w:val="000C5227"/>
    <w:rsid w:val="000C5C7A"/>
    <w:rsid w:val="000C6A1C"/>
    <w:rsid w:val="000C70F4"/>
    <w:rsid w:val="000D0527"/>
    <w:rsid w:val="000D4977"/>
    <w:rsid w:val="000D7192"/>
    <w:rsid w:val="000F0595"/>
    <w:rsid w:val="00102E7A"/>
    <w:rsid w:val="00104E0B"/>
    <w:rsid w:val="00123958"/>
    <w:rsid w:val="00127A8E"/>
    <w:rsid w:val="00133FD2"/>
    <w:rsid w:val="00134B09"/>
    <w:rsid w:val="0013591C"/>
    <w:rsid w:val="00143A30"/>
    <w:rsid w:val="00145498"/>
    <w:rsid w:val="00146416"/>
    <w:rsid w:val="00152C33"/>
    <w:rsid w:val="00157AF4"/>
    <w:rsid w:val="001633BB"/>
    <w:rsid w:val="0016585D"/>
    <w:rsid w:val="00171E58"/>
    <w:rsid w:val="00174771"/>
    <w:rsid w:val="00176DAB"/>
    <w:rsid w:val="0017745B"/>
    <w:rsid w:val="001930FB"/>
    <w:rsid w:val="001A01F8"/>
    <w:rsid w:val="001A20B9"/>
    <w:rsid w:val="001B2756"/>
    <w:rsid w:val="001B6367"/>
    <w:rsid w:val="001C57F9"/>
    <w:rsid w:val="001D2D1C"/>
    <w:rsid w:val="001D7D74"/>
    <w:rsid w:val="001E0F5D"/>
    <w:rsid w:val="001E6B03"/>
    <w:rsid w:val="001F1230"/>
    <w:rsid w:val="001F4033"/>
    <w:rsid w:val="001F5885"/>
    <w:rsid w:val="00200C07"/>
    <w:rsid w:val="00201AF4"/>
    <w:rsid w:val="00202C29"/>
    <w:rsid w:val="002072A5"/>
    <w:rsid w:val="002111ED"/>
    <w:rsid w:val="00211F5A"/>
    <w:rsid w:val="00213196"/>
    <w:rsid w:val="00213F54"/>
    <w:rsid w:val="0021410F"/>
    <w:rsid w:val="00220F36"/>
    <w:rsid w:val="00221AB2"/>
    <w:rsid w:val="00224F2A"/>
    <w:rsid w:val="00227ADC"/>
    <w:rsid w:val="00227D00"/>
    <w:rsid w:val="002429E7"/>
    <w:rsid w:val="00243218"/>
    <w:rsid w:val="00243480"/>
    <w:rsid w:val="00243DB4"/>
    <w:rsid w:val="00247A26"/>
    <w:rsid w:val="0026144A"/>
    <w:rsid w:val="002665D0"/>
    <w:rsid w:val="002733F8"/>
    <w:rsid w:val="00281270"/>
    <w:rsid w:val="00281DF0"/>
    <w:rsid w:val="00282575"/>
    <w:rsid w:val="00284E16"/>
    <w:rsid w:val="002871DB"/>
    <w:rsid w:val="0028751C"/>
    <w:rsid w:val="00290485"/>
    <w:rsid w:val="00290B83"/>
    <w:rsid w:val="00295CC1"/>
    <w:rsid w:val="0029620B"/>
    <w:rsid w:val="002967AC"/>
    <w:rsid w:val="002A3F86"/>
    <w:rsid w:val="002B055A"/>
    <w:rsid w:val="002B3510"/>
    <w:rsid w:val="002C0AF9"/>
    <w:rsid w:val="002C5201"/>
    <w:rsid w:val="002C7ECC"/>
    <w:rsid w:val="002D0540"/>
    <w:rsid w:val="002E28CA"/>
    <w:rsid w:val="002E36A5"/>
    <w:rsid w:val="002F27EB"/>
    <w:rsid w:val="002F34D6"/>
    <w:rsid w:val="002F707F"/>
    <w:rsid w:val="00300C61"/>
    <w:rsid w:val="00306AAA"/>
    <w:rsid w:val="00310E42"/>
    <w:rsid w:val="00311E96"/>
    <w:rsid w:val="0031277A"/>
    <w:rsid w:val="003159D7"/>
    <w:rsid w:val="003205B3"/>
    <w:rsid w:val="003242AD"/>
    <w:rsid w:val="00325ED8"/>
    <w:rsid w:val="003304BE"/>
    <w:rsid w:val="003314FB"/>
    <w:rsid w:val="003327E3"/>
    <w:rsid w:val="00345127"/>
    <w:rsid w:val="00350417"/>
    <w:rsid w:val="00354455"/>
    <w:rsid w:val="00354895"/>
    <w:rsid w:val="00355B40"/>
    <w:rsid w:val="00366064"/>
    <w:rsid w:val="00372CC8"/>
    <w:rsid w:val="003732E2"/>
    <w:rsid w:val="003805B2"/>
    <w:rsid w:val="0038520E"/>
    <w:rsid w:val="00391832"/>
    <w:rsid w:val="00392494"/>
    <w:rsid w:val="00394228"/>
    <w:rsid w:val="00395C8F"/>
    <w:rsid w:val="003974FE"/>
    <w:rsid w:val="0039774B"/>
    <w:rsid w:val="003A19AD"/>
    <w:rsid w:val="003A6AE9"/>
    <w:rsid w:val="003B2B51"/>
    <w:rsid w:val="003B7F53"/>
    <w:rsid w:val="003C52D1"/>
    <w:rsid w:val="003C7251"/>
    <w:rsid w:val="003D11BD"/>
    <w:rsid w:val="003D11CE"/>
    <w:rsid w:val="003D11CF"/>
    <w:rsid w:val="003E29F0"/>
    <w:rsid w:val="00404DAD"/>
    <w:rsid w:val="00410130"/>
    <w:rsid w:val="004214EC"/>
    <w:rsid w:val="00427C9C"/>
    <w:rsid w:val="004333F3"/>
    <w:rsid w:val="00433A46"/>
    <w:rsid w:val="004360A7"/>
    <w:rsid w:val="00443B27"/>
    <w:rsid w:val="00447B4C"/>
    <w:rsid w:val="00450758"/>
    <w:rsid w:val="004522DC"/>
    <w:rsid w:val="004550B4"/>
    <w:rsid w:val="00460D7C"/>
    <w:rsid w:val="004725C8"/>
    <w:rsid w:val="004759DE"/>
    <w:rsid w:val="0048025B"/>
    <w:rsid w:val="004828E0"/>
    <w:rsid w:val="00484D64"/>
    <w:rsid w:val="00495876"/>
    <w:rsid w:val="004A128F"/>
    <w:rsid w:val="004B25B0"/>
    <w:rsid w:val="004B5B69"/>
    <w:rsid w:val="004C01ED"/>
    <w:rsid w:val="004C08FB"/>
    <w:rsid w:val="004C0B1C"/>
    <w:rsid w:val="004C1741"/>
    <w:rsid w:val="004D01B6"/>
    <w:rsid w:val="004E341D"/>
    <w:rsid w:val="004F1572"/>
    <w:rsid w:val="005046BA"/>
    <w:rsid w:val="00504F57"/>
    <w:rsid w:val="00513626"/>
    <w:rsid w:val="005209B4"/>
    <w:rsid w:val="00521019"/>
    <w:rsid w:val="005235B4"/>
    <w:rsid w:val="00524C4C"/>
    <w:rsid w:val="00526312"/>
    <w:rsid w:val="0053295D"/>
    <w:rsid w:val="00533426"/>
    <w:rsid w:val="00551A86"/>
    <w:rsid w:val="00552C3C"/>
    <w:rsid w:val="00557071"/>
    <w:rsid w:val="00564996"/>
    <w:rsid w:val="00564FBC"/>
    <w:rsid w:val="00565ECC"/>
    <w:rsid w:val="00567590"/>
    <w:rsid w:val="00567A2E"/>
    <w:rsid w:val="00574DD9"/>
    <w:rsid w:val="00580B22"/>
    <w:rsid w:val="00582829"/>
    <w:rsid w:val="00585CF7"/>
    <w:rsid w:val="0059077B"/>
    <w:rsid w:val="00590DED"/>
    <w:rsid w:val="0059445B"/>
    <w:rsid w:val="005A6AFB"/>
    <w:rsid w:val="005A7CE4"/>
    <w:rsid w:val="005B4940"/>
    <w:rsid w:val="005B512D"/>
    <w:rsid w:val="005C6EC0"/>
    <w:rsid w:val="005D2054"/>
    <w:rsid w:val="005D4B3F"/>
    <w:rsid w:val="005E23ED"/>
    <w:rsid w:val="005E5EF8"/>
    <w:rsid w:val="005F170E"/>
    <w:rsid w:val="005F285B"/>
    <w:rsid w:val="005F37A1"/>
    <w:rsid w:val="005F6A27"/>
    <w:rsid w:val="00603022"/>
    <w:rsid w:val="00610CDF"/>
    <w:rsid w:val="006148F9"/>
    <w:rsid w:val="0062381A"/>
    <w:rsid w:val="0062630C"/>
    <w:rsid w:val="00634269"/>
    <w:rsid w:val="00634D7E"/>
    <w:rsid w:val="00634DB4"/>
    <w:rsid w:val="006405CA"/>
    <w:rsid w:val="00643FDB"/>
    <w:rsid w:val="00645514"/>
    <w:rsid w:val="00647B13"/>
    <w:rsid w:val="0065467D"/>
    <w:rsid w:val="0065658F"/>
    <w:rsid w:val="00660874"/>
    <w:rsid w:val="00667586"/>
    <w:rsid w:val="006675DC"/>
    <w:rsid w:val="00671FC2"/>
    <w:rsid w:val="00675E68"/>
    <w:rsid w:val="006774B7"/>
    <w:rsid w:val="00680B84"/>
    <w:rsid w:val="00684831"/>
    <w:rsid w:val="00687B61"/>
    <w:rsid w:val="00690F7C"/>
    <w:rsid w:val="0069394B"/>
    <w:rsid w:val="006A1A73"/>
    <w:rsid w:val="006A3A92"/>
    <w:rsid w:val="006B0996"/>
    <w:rsid w:val="006B0EBC"/>
    <w:rsid w:val="006B346A"/>
    <w:rsid w:val="006C1495"/>
    <w:rsid w:val="006C151F"/>
    <w:rsid w:val="006C1716"/>
    <w:rsid w:val="006C5D88"/>
    <w:rsid w:val="006C641E"/>
    <w:rsid w:val="006D231E"/>
    <w:rsid w:val="006D64DD"/>
    <w:rsid w:val="006D6EDC"/>
    <w:rsid w:val="006E0AA9"/>
    <w:rsid w:val="006E3529"/>
    <w:rsid w:val="006E682B"/>
    <w:rsid w:val="006F092F"/>
    <w:rsid w:val="006F1595"/>
    <w:rsid w:val="006F3865"/>
    <w:rsid w:val="006F57BF"/>
    <w:rsid w:val="006F7488"/>
    <w:rsid w:val="00702BC8"/>
    <w:rsid w:val="00705F1F"/>
    <w:rsid w:val="00712399"/>
    <w:rsid w:val="00712A72"/>
    <w:rsid w:val="007133B1"/>
    <w:rsid w:val="0071721F"/>
    <w:rsid w:val="0072062D"/>
    <w:rsid w:val="00720A06"/>
    <w:rsid w:val="00730E86"/>
    <w:rsid w:val="00731033"/>
    <w:rsid w:val="007400F2"/>
    <w:rsid w:val="007402D1"/>
    <w:rsid w:val="00741099"/>
    <w:rsid w:val="00745DEB"/>
    <w:rsid w:val="00750A47"/>
    <w:rsid w:val="00757A8F"/>
    <w:rsid w:val="00760470"/>
    <w:rsid w:val="00772729"/>
    <w:rsid w:val="00772A75"/>
    <w:rsid w:val="00781C03"/>
    <w:rsid w:val="007826A0"/>
    <w:rsid w:val="0078760C"/>
    <w:rsid w:val="0079176D"/>
    <w:rsid w:val="00792419"/>
    <w:rsid w:val="00792925"/>
    <w:rsid w:val="0079731D"/>
    <w:rsid w:val="007A11B4"/>
    <w:rsid w:val="007A47BD"/>
    <w:rsid w:val="007A4E44"/>
    <w:rsid w:val="007B05B2"/>
    <w:rsid w:val="007B28E8"/>
    <w:rsid w:val="007B5DE4"/>
    <w:rsid w:val="007C03E4"/>
    <w:rsid w:val="007C1755"/>
    <w:rsid w:val="007C2D74"/>
    <w:rsid w:val="007C3FCB"/>
    <w:rsid w:val="007D3A2B"/>
    <w:rsid w:val="007E0324"/>
    <w:rsid w:val="007E2CF1"/>
    <w:rsid w:val="007E3869"/>
    <w:rsid w:val="007E5322"/>
    <w:rsid w:val="007E6BFC"/>
    <w:rsid w:val="0081010F"/>
    <w:rsid w:val="0081201F"/>
    <w:rsid w:val="0081431C"/>
    <w:rsid w:val="00817E8E"/>
    <w:rsid w:val="008332BB"/>
    <w:rsid w:val="0083463F"/>
    <w:rsid w:val="00837493"/>
    <w:rsid w:val="00846917"/>
    <w:rsid w:val="00854C2A"/>
    <w:rsid w:val="008565A9"/>
    <w:rsid w:val="008712F8"/>
    <w:rsid w:val="00871C94"/>
    <w:rsid w:val="008757E4"/>
    <w:rsid w:val="00881AC3"/>
    <w:rsid w:val="0088434C"/>
    <w:rsid w:val="00885102"/>
    <w:rsid w:val="00886C54"/>
    <w:rsid w:val="00887212"/>
    <w:rsid w:val="00893D6B"/>
    <w:rsid w:val="0089707E"/>
    <w:rsid w:val="00897697"/>
    <w:rsid w:val="008A4D0D"/>
    <w:rsid w:val="008A59AE"/>
    <w:rsid w:val="008A6574"/>
    <w:rsid w:val="008A6A80"/>
    <w:rsid w:val="008A6CA9"/>
    <w:rsid w:val="008A74A7"/>
    <w:rsid w:val="008B3852"/>
    <w:rsid w:val="008B5609"/>
    <w:rsid w:val="008B6047"/>
    <w:rsid w:val="008C0DD4"/>
    <w:rsid w:val="008C2F56"/>
    <w:rsid w:val="008C6961"/>
    <w:rsid w:val="008C706F"/>
    <w:rsid w:val="008D07A7"/>
    <w:rsid w:val="008D659D"/>
    <w:rsid w:val="008D688F"/>
    <w:rsid w:val="008D76D9"/>
    <w:rsid w:val="008D77AB"/>
    <w:rsid w:val="008D7F44"/>
    <w:rsid w:val="008E335F"/>
    <w:rsid w:val="008F046B"/>
    <w:rsid w:val="008F3227"/>
    <w:rsid w:val="00900A74"/>
    <w:rsid w:val="00900C9B"/>
    <w:rsid w:val="00903B63"/>
    <w:rsid w:val="00906CB1"/>
    <w:rsid w:val="009129A4"/>
    <w:rsid w:val="00914EA1"/>
    <w:rsid w:val="00920329"/>
    <w:rsid w:val="0092051A"/>
    <w:rsid w:val="009220CB"/>
    <w:rsid w:val="00923CF4"/>
    <w:rsid w:val="00925521"/>
    <w:rsid w:val="00930323"/>
    <w:rsid w:val="0093070D"/>
    <w:rsid w:val="00931BAB"/>
    <w:rsid w:val="009332C0"/>
    <w:rsid w:val="00934A5E"/>
    <w:rsid w:val="00943855"/>
    <w:rsid w:val="00944267"/>
    <w:rsid w:val="0094563F"/>
    <w:rsid w:val="00946D21"/>
    <w:rsid w:val="00960DC2"/>
    <w:rsid w:val="009747A0"/>
    <w:rsid w:val="00981B6B"/>
    <w:rsid w:val="00981D24"/>
    <w:rsid w:val="0098292D"/>
    <w:rsid w:val="00982945"/>
    <w:rsid w:val="0099449C"/>
    <w:rsid w:val="009956AD"/>
    <w:rsid w:val="00995CD3"/>
    <w:rsid w:val="009A2593"/>
    <w:rsid w:val="009B1E98"/>
    <w:rsid w:val="009B4B49"/>
    <w:rsid w:val="009B5D8D"/>
    <w:rsid w:val="009B5DCF"/>
    <w:rsid w:val="009C1618"/>
    <w:rsid w:val="009C5C8F"/>
    <w:rsid w:val="009C63B0"/>
    <w:rsid w:val="009C6DE7"/>
    <w:rsid w:val="009D1CE5"/>
    <w:rsid w:val="009D257A"/>
    <w:rsid w:val="009D30A4"/>
    <w:rsid w:val="009D41F9"/>
    <w:rsid w:val="009E0C1B"/>
    <w:rsid w:val="009E4068"/>
    <w:rsid w:val="009E6278"/>
    <w:rsid w:val="009E6582"/>
    <w:rsid w:val="009F23EF"/>
    <w:rsid w:val="00A071DB"/>
    <w:rsid w:val="00A078B3"/>
    <w:rsid w:val="00A101CD"/>
    <w:rsid w:val="00A13B06"/>
    <w:rsid w:val="00A17434"/>
    <w:rsid w:val="00A22C64"/>
    <w:rsid w:val="00A27E80"/>
    <w:rsid w:val="00A3058B"/>
    <w:rsid w:val="00A33252"/>
    <w:rsid w:val="00A403AE"/>
    <w:rsid w:val="00A44975"/>
    <w:rsid w:val="00A4566F"/>
    <w:rsid w:val="00A54287"/>
    <w:rsid w:val="00A550E6"/>
    <w:rsid w:val="00A616F0"/>
    <w:rsid w:val="00A6677A"/>
    <w:rsid w:val="00A66928"/>
    <w:rsid w:val="00A676CF"/>
    <w:rsid w:val="00A727B1"/>
    <w:rsid w:val="00A73ACD"/>
    <w:rsid w:val="00A76D1E"/>
    <w:rsid w:val="00A852B9"/>
    <w:rsid w:val="00A866E5"/>
    <w:rsid w:val="00A91293"/>
    <w:rsid w:val="00A93840"/>
    <w:rsid w:val="00AA0BB0"/>
    <w:rsid w:val="00AA1D02"/>
    <w:rsid w:val="00AB16C1"/>
    <w:rsid w:val="00AB4BDD"/>
    <w:rsid w:val="00AC482D"/>
    <w:rsid w:val="00AD1A74"/>
    <w:rsid w:val="00AE085D"/>
    <w:rsid w:val="00AE6607"/>
    <w:rsid w:val="00AF0FE2"/>
    <w:rsid w:val="00AF11A1"/>
    <w:rsid w:val="00AF19FF"/>
    <w:rsid w:val="00AF2347"/>
    <w:rsid w:val="00AF2C2F"/>
    <w:rsid w:val="00AF604A"/>
    <w:rsid w:val="00B00542"/>
    <w:rsid w:val="00B06D26"/>
    <w:rsid w:val="00B14CB3"/>
    <w:rsid w:val="00B17DFA"/>
    <w:rsid w:val="00B215A0"/>
    <w:rsid w:val="00B260EE"/>
    <w:rsid w:val="00B3324A"/>
    <w:rsid w:val="00B35D92"/>
    <w:rsid w:val="00B40BB4"/>
    <w:rsid w:val="00B41CFC"/>
    <w:rsid w:val="00B43FF6"/>
    <w:rsid w:val="00B440B4"/>
    <w:rsid w:val="00B45F15"/>
    <w:rsid w:val="00B478B6"/>
    <w:rsid w:val="00B50002"/>
    <w:rsid w:val="00B5059C"/>
    <w:rsid w:val="00B52A0B"/>
    <w:rsid w:val="00B56F8A"/>
    <w:rsid w:val="00B572A5"/>
    <w:rsid w:val="00B7282E"/>
    <w:rsid w:val="00B72B2F"/>
    <w:rsid w:val="00B72FF6"/>
    <w:rsid w:val="00B74CD5"/>
    <w:rsid w:val="00B77F06"/>
    <w:rsid w:val="00B80909"/>
    <w:rsid w:val="00B82F79"/>
    <w:rsid w:val="00B838A2"/>
    <w:rsid w:val="00B847AB"/>
    <w:rsid w:val="00B91C46"/>
    <w:rsid w:val="00B92074"/>
    <w:rsid w:val="00B940B1"/>
    <w:rsid w:val="00B957F7"/>
    <w:rsid w:val="00BA01EA"/>
    <w:rsid w:val="00BA0619"/>
    <w:rsid w:val="00BB0FE5"/>
    <w:rsid w:val="00BB2053"/>
    <w:rsid w:val="00BB2D28"/>
    <w:rsid w:val="00BB517B"/>
    <w:rsid w:val="00BB6843"/>
    <w:rsid w:val="00BB689D"/>
    <w:rsid w:val="00BC10E6"/>
    <w:rsid w:val="00BC14B2"/>
    <w:rsid w:val="00BC150C"/>
    <w:rsid w:val="00BC4E68"/>
    <w:rsid w:val="00BD0326"/>
    <w:rsid w:val="00BE2624"/>
    <w:rsid w:val="00BE4C58"/>
    <w:rsid w:val="00BE5A53"/>
    <w:rsid w:val="00BE5DA8"/>
    <w:rsid w:val="00BF0B90"/>
    <w:rsid w:val="00BF5961"/>
    <w:rsid w:val="00C1425D"/>
    <w:rsid w:val="00C16B61"/>
    <w:rsid w:val="00C31B06"/>
    <w:rsid w:val="00C3787E"/>
    <w:rsid w:val="00C51B0C"/>
    <w:rsid w:val="00C5660C"/>
    <w:rsid w:val="00C607EC"/>
    <w:rsid w:val="00C66A2F"/>
    <w:rsid w:val="00C6714B"/>
    <w:rsid w:val="00C673B8"/>
    <w:rsid w:val="00C710C5"/>
    <w:rsid w:val="00C72D98"/>
    <w:rsid w:val="00C74B95"/>
    <w:rsid w:val="00C75947"/>
    <w:rsid w:val="00C761D2"/>
    <w:rsid w:val="00C77542"/>
    <w:rsid w:val="00C80443"/>
    <w:rsid w:val="00C82150"/>
    <w:rsid w:val="00C84214"/>
    <w:rsid w:val="00C860D8"/>
    <w:rsid w:val="00C86D77"/>
    <w:rsid w:val="00C873CC"/>
    <w:rsid w:val="00C92129"/>
    <w:rsid w:val="00C9246E"/>
    <w:rsid w:val="00CA1FA6"/>
    <w:rsid w:val="00CA2EE7"/>
    <w:rsid w:val="00CA62F2"/>
    <w:rsid w:val="00CB2307"/>
    <w:rsid w:val="00CB3F13"/>
    <w:rsid w:val="00CC1AB1"/>
    <w:rsid w:val="00CC26F9"/>
    <w:rsid w:val="00CD16FC"/>
    <w:rsid w:val="00CD1FDE"/>
    <w:rsid w:val="00CD35B3"/>
    <w:rsid w:val="00CD56A2"/>
    <w:rsid w:val="00CF2CE4"/>
    <w:rsid w:val="00CF59BD"/>
    <w:rsid w:val="00D01749"/>
    <w:rsid w:val="00D0626E"/>
    <w:rsid w:val="00D06E4A"/>
    <w:rsid w:val="00D13F1E"/>
    <w:rsid w:val="00D2018C"/>
    <w:rsid w:val="00D24C47"/>
    <w:rsid w:val="00D24F72"/>
    <w:rsid w:val="00D4154F"/>
    <w:rsid w:val="00D438A4"/>
    <w:rsid w:val="00D5236C"/>
    <w:rsid w:val="00D5239B"/>
    <w:rsid w:val="00D63A58"/>
    <w:rsid w:val="00D63AC6"/>
    <w:rsid w:val="00D70AD6"/>
    <w:rsid w:val="00D7212D"/>
    <w:rsid w:val="00D72C43"/>
    <w:rsid w:val="00D75CA4"/>
    <w:rsid w:val="00D80C74"/>
    <w:rsid w:val="00D8534D"/>
    <w:rsid w:val="00D87504"/>
    <w:rsid w:val="00D95B4E"/>
    <w:rsid w:val="00D95F74"/>
    <w:rsid w:val="00D97B40"/>
    <w:rsid w:val="00DA2300"/>
    <w:rsid w:val="00DA7708"/>
    <w:rsid w:val="00DA7DE1"/>
    <w:rsid w:val="00DB00BC"/>
    <w:rsid w:val="00DB01F3"/>
    <w:rsid w:val="00DB0C8C"/>
    <w:rsid w:val="00DB3B71"/>
    <w:rsid w:val="00DB6E38"/>
    <w:rsid w:val="00DB7637"/>
    <w:rsid w:val="00DC34F0"/>
    <w:rsid w:val="00DC73B4"/>
    <w:rsid w:val="00DD02DC"/>
    <w:rsid w:val="00DD0C18"/>
    <w:rsid w:val="00DD2D65"/>
    <w:rsid w:val="00DD5139"/>
    <w:rsid w:val="00DF1915"/>
    <w:rsid w:val="00DF2D8D"/>
    <w:rsid w:val="00DF6860"/>
    <w:rsid w:val="00DF724F"/>
    <w:rsid w:val="00E01F0D"/>
    <w:rsid w:val="00E07D96"/>
    <w:rsid w:val="00E20172"/>
    <w:rsid w:val="00E31B42"/>
    <w:rsid w:val="00E41050"/>
    <w:rsid w:val="00E4419F"/>
    <w:rsid w:val="00E45C1C"/>
    <w:rsid w:val="00E46ACB"/>
    <w:rsid w:val="00E54C13"/>
    <w:rsid w:val="00E61D02"/>
    <w:rsid w:val="00E63761"/>
    <w:rsid w:val="00E64237"/>
    <w:rsid w:val="00E64E00"/>
    <w:rsid w:val="00E66889"/>
    <w:rsid w:val="00E70CA3"/>
    <w:rsid w:val="00E722FE"/>
    <w:rsid w:val="00E72DE7"/>
    <w:rsid w:val="00E82DCA"/>
    <w:rsid w:val="00E83F97"/>
    <w:rsid w:val="00E8439C"/>
    <w:rsid w:val="00E85468"/>
    <w:rsid w:val="00E90E32"/>
    <w:rsid w:val="00E944D3"/>
    <w:rsid w:val="00EA4AC3"/>
    <w:rsid w:val="00EB63F5"/>
    <w:rsid w:val="00EC0DEF"/>
    <w:rsid w:val="00EC1A86"/>
    <w:rsid w:val="00EC2A43"/>
    <w:rsid w:val="00EC7ED9"/>
    <w:rsid w:val="00ED3936"/>
    <w:rsid w:val="00ED433F"/>
    <w:rsid w:val="00ED75DD"/>
    <w:rsid w:val="00EE20EC"/>
    <w:rsid w:val="00EE38C9"/>
    <w:rsid w:val="00EE48D9"/>
    <w:rsid w:val="00EE5251"/>
    <w:rsid w:val="00EE5FE2"/>
    <w:rsid w:val="00EF03C1"/>
    <w:rsid w:val="00EF28B5"/>
    <w:rsid w:val="00F00963"/>
    <w:rsid w:val="00F00E80"/>
    <w:rsid w:val="00F01433"/>
    <w:rsid w:val="00F03DC8"/>
    <w:rsid w:val="00F06A1D"/>
    <w:rsid w:val="00F41EF2"/>
    <w:rsid w:val="00F4430A"/>
    <w:rsid w:val="00F45AC4"/>
    <w:rsid w:val="00F47F6D"/>
    <w:rsid w:val="00F5360D"/>
    <w:rsid w:val="00F61891"/>
    <w:rsid w:val="00F61EA9"/>
    <w:rsid w:val="00F7458A"/>
    <w:rsid w:val="00F77A25"/>
    <w:rsid w:val="00F82584"/>
    <w:rsid w:val="00F82879"/>
    <w:rsid w:val="00F85DB7"/>
    <w:rsid w:val="00F86E08"/>
    <w:rsid w:val="00F9055E"/>
    <w:rsid w:val="00F92E53"/>
    <w:rsid w:val="00F9730B"/>
    <w:rsid w:val="00FA206F"/>
    <w:rsid w:val="00FA705E"/>
    <w:rsid w:val="00FB0CEC"/>
    <w:rsid w:val="00FB11D8"/>
    <w:rsid w:val="00FB24A9"/>
    <w:rsid w:val="00FB4C07"/>
    <w:rsid w:val="00FB561C"/>
    <w:rsid w:val="00FC40FD"/>
    <w:rsid w:val="00FD224A"/>
    <w:rsid w:val="00FD392E"/>
    <w:rsid w:val="00FD7DC7"/>
    <w:rsid w:val="00FE08DC"/>
    <w:rsid w:val="00FE0E06"/>
    <w:rsid w:val="00FE1743"/>
    <w:rsid w:val="00FE1850"/>
    <w:rsid w:val="00FE26F8"/>
    <w:rsid w:val="00FE4FA0"/>
    <w:rsid w:val="00FE5F5D"/>
    <w:rsid w:val="00FE750D"/>
    <w:rsid w:val="00FF59C6"/>
    <w:rsid w:val="00FF7222"/>
    <w:rsid w:val="00FF78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45B"/>
    <w:pPr>
      <w:spacing w:after="120"/>
    </w:pPr>
    <w:rPr>
      <w:sz w:val="24"/>
      <w:szCs w:val="24"/>
    </w:rPr>
  </w:style>
  <w:style w:type="paragraph" w:styleId="Heading1">
    <w:name w:val="heading 1"/>
    <w:basedOn w:val="Normal"/>
    <w:next w:val="Normal"/>
    <w:link w:val="Heading1Char"/>
    <w:uiPriority w:val="9"/>
    <w:qFormat/>
    <w:rsid w:val="00201AF4"/>
    <w:pPr>
      <w:pBdr>
        <w:bottom w:val="single" w:sz="18" w:space="1" w:color="081594"/>
      </w:pBdr>
      <w:outlineLvl w:val="0"/>
    </w:pPr>
    <w:rPr>
      <w:b/>
      <w:noProof/>
      <w:color w:val="081594"/>
      <w:sz w:val="52"/>
      <w:szCs w:val="52"/>
      <w:lang w:eastAsia="en-AU"/>
    </w:rPr>
  </w:style>
  <w:style w:type="paragraph" w:styleId="Heading2">
    <w:name w:val="heading 2"/>
    <w:basedOn w:val="Normal"/>
    <w:next w:val="Normal"/>
    <w:link w:val="Heading2Char"/>
    <w:uiPriority w:val="9"/>
    <w:unhideWhenUsed/>
    <w:qFormat/>
    <w:rsid w:val="00A616F0"/>
    <w:pPr>
      <w:outlineLvl w:val="1"/>
    </w:pPr>
    <w:rPr>
      <w:b/>
      <w:caps/>
      <w:color w:val="081594"/>
      <w:sz w:val="40"/>
      <w:szCs w:val="40"/>
    </w:rPr>
  </w:style>
  <w:style w:type="paragraph" w:styleId="Heading3">
    <w:name w:val="heading 3"/>
    <w:basedOn w:val="Normal"/>
    <w:next w:val="Normal"/>
    <w:link w:val="Heading3Char"/>
    <w:uiPriority w:val="9"/>
    <w:unhideWhenUsed/>
    <w:qFormat/>
    <w:rsid w:val="00F01433"/>
    <w:pPr>
      <w:spacing w:before="360" w:after="60"/>
      <w:outlineLvl w:val="2"/>
    </w:pPr>
    <w:rPr>
      <w:b/>
      <w:color w:val="081594"/>
      <w:sz w:val="36"/>
      <w:szCs w:val="28"/>
    </w:rPr>
  </w:style>
  <w:style w:type="paragraph" w:styleId="Heading4">
    <w:name w:val="heading 4"/>
    <w:basedOn w:val="Normal"/>
    <w:next w:val="Normal"/>
    <w:link w:val="Heading4Char"/>
    <w:uiPriority w:val="9"/>
    <w:unhideWhenUsed/>
    <w:qFormat/>
    <w:rsid w:val="00F01433"/>
    <w:pPr>
      <w:keepNext/>
      <w:keepLines/>
      <w:spacing w:before="240" w:after="0"/>
      <w:outlineLvl w:val="3"/>
    </w:pPr>
    <w:rPr>
      <w:rFonts w:eastAsiaTheme="majorEastAsia" w:cstheme="majorBidi"/>
      <w:b/>
      <w:bCs/>
      <w:iCs/>
      <w:color w:val="081594"/>
    </w:rPr>
  </w:style>
  <w:style w:type="paragraph" w:styleId="Heading5">
    <w:name w:val="heading 5"/>
    <w:basedOn w:val="Normal"/>
    <w:next w:val="Normal"/>
    <w:link w:val="Heading5Char"/>
    <w:uiPriority w:val="9"/>
    <w:unhideWhenUsed/>
    <w:qFormat/>
    <w:rsid w:val="00585CF7"/>
    <w:pPr>
      <w:keepNext/>
      <w:keepLines/>
      <w:spacing w:before="200" w:after="0"/>
      <w:outlineLvl w:val="4"/>
    </w:pPr>
    <w:rPr>
      <w:rFonts w:asciiTheme="majorHAnsi" w:eastAsiaTheme="majorEastAsia" w:hAnsiTheme="majorHAnsi" w:cstheme="majorBidi"/>
      <w:color w:val="08159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FF6"/>
    <w:rPr>
      <w:rFonts w:ascii="Tahoma" w:hAnsi="Tahoma" w:cs="Tahoma"/>
      <w:sz w:val="16"/>
      <w:szCs w:val="16"/>
    </w:rPr>
  </w:style>
  <w:style w:type="character" w:customStyle="1" w:styleId="Heading1Char">
    <w:name w:val="Heading 1 Char"/>
    <w:basedOn w:val="DefaultParagraphFont"/>
    <w:link w:val="Heading1"/>
    <w:uiPriority w:val="9"/>
    <w:rsid w:val="00201AF4"/>
    <w:rPr>
      <w:b/>
      <w:noProof/>
      <w:color w:val="081594"/>
      <w:sz w:val="52"/>
      <w:szCs w:val="52"/>
      <w:lang w:eastAsia="en-AU"/>
    </w:rPr>
  </w:style>
  <w:style w:type="character" w:customStyle="1" w:styleId="Heading2Char">
    <w:name w:val="Heading 2 Char"/>
    <w:basedOn w:val="DefaultParagraphFont"/>
    <w:link w:val="Heading2"/>
    <w:uiPriority w:val="9"/>
    <w:rsid w:val="00A616F0"/>
    <w:rPr>
      <w:b/>
      <w:caps/>
      <w:color w:val="081594"/>
      <w:sz w:val="40"/>
      <w:szCs w:val="40"/>
    </w:rPr>
  </w:style>
  <w:style w:type="character" w:customStyle="1" w:styleId="Heading3Char">
    <w:name w:val="Heading 3 Char"/>
    <w:basedOn w:val="DefaultParagraphFont"/>
    <w:link w:val="Heading3"/>
    <w:uiPriority w:val="9"/>
    <w:rsid w:val="00F01433"/>
    <w:rPr>
      <w:b/>
      <w:color w:val="081594"/>
      <w:sz w:val="36"/>
      <w:szCs w:val="28"/>
    </w:rPr>
  </w:style>
  <w:style w:type="paragraph" w:styleId="ListParagraph">
    <w:name w:val="List Paragraph"/>
    <w:aliases w:val="List Paragraph1,List Paragraph11,Recommendation"/>
    <w:basedOn w:val="Normal"/>
    <w:link w:val="ListParagraphChar"/>
    <w:uiPriority w:val="34"/>
    <w:qFormat/>
    <w:rsid w:val="00201AF4"/>
    <w:pPr>
      <w:ind w:left="720"/>
      <w:contextualSpacing/>
    </w:pPr>
  </w:style>
  <w:style w:type="character" w:customStyle="1" w:styleId="apple-converted-space">
    <w:name w:val="apple-converted-space"/>
    <w:basedOn w:val="DefaultParagraphFont"/>
    <w:rsid w:val="00A22C64"/>
  </w:style>
  <w:style w:type="character" w:styleId="Hyperlink">
    <w:name w:val="Hyperlink"/>
    <w:basedOn w:val="DefaultParagraphFont"/>
    <w:uiPriority w:val="99"/>
    <w:unhideWhenUsed/>
    <w:rsid w:val="00A22C64"/>
    <w:rPr>
      <w:color w:val="0000FF"/>
      <w:u w:val="single"/>
    </w:rPr>
  </w:style>
  <w:style w:type="character" w:styleId="FollowedHyperlink">
    <w:name w:val="FollowedHyperlink"/>
    <w:basedOn w:val="DefaultParagraphFont"/>
    <w:uiPriority w:val="99"/>
    <w:semiHidden/>
    <w:unhideWhenUsed/>
    <w:rsid w:val="00A22C64"/>
    <w:rPr>
      <w:color w:val="800080" w:themeColor="followedHyperlink"/>
      <w:u w:val="single"/>
    </w:rPr>
  </w:style>
  <w:style w:type="paragraph" w:styleId="Header">
    <w:name w:val="header"/>
    <w:basedOn w:val="Normal"/>
    <w:link w:val="HeaderChar"/>
    <w:uiPriority w:val="99"/>
    <w:unhideWhenUsed/>
    <w:rsid w:val="00DD02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2DC"/>
    <w:rPr>
      <w:sz w:val="24"/>
      <w:szCs w:val="24"/>
    </w:rPr>
  </w:style>
  <w:style w:type="paragraph" w:styleId="Footer">
    <w:name w:val="footer"/>
    <w:basedOn w:val="Normal"/>
    <w:link w:val="FooterChar"/>
    <w:uiPriority w:val="99"/>
    <w:unhideWhenUsed/>
    <w:rsid w:val="00DD02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2DC"/>
    <w:rPr>
      <w:sz w:val="24"/>
      <w:szCs w:val="24"/>
    </w:rPr>
  </w:style>
  <w:style w:type="paragraph" w:styleId="TOCHeading">
    <w:name w:val="TOC Heading"/>
    <w:basedOn w:val="Heading1"/>
    <w:next w:val="Normal"/>
    <w:uiPriority w:val="39"/>
    <w:unhideWhenUsed/>
    <w:qFormat/>
    <w:rsid w:val="00F9055E"/>
    <w:pPr>
      <w:keepNext/>
      <w:keepLines/>
      <w:pBdr>
        <w:bottom w:val="none" w:sz="0" w:space="0" w:color="auto"/>
      </w:pBdr>
      <w:spacing w:before="480" w:after="0"/>
      <w:outlineLvl w:val="9"/>
    </w:pPr>
    <w:rPr>
      <w:rFonts w:asciiTheme="majorHAnsi" w:eastAsiaTheme="majorEastAsia" w:hAnsiTheme="majorHAnsi" w:cstheme="majorBidi"/>
      <w:bCs/>
      <w:noProof w:val="0"/>
      <w:color w:val="365F91" w:themeColor="accent1" w:themeShade="BF"/>
      <w:sz w:val="28"/>
      <w:szCs w:val="28"/>
      <w:lang w:val="en-US" w:eastAsia="ja-JP"/>
    </w:rPr>
  </w:style>
  <w:style w:type="paragraph" w:styleId="TOC1">
    <w:name w:val="toc 1"/>
    <w:basedOn w:val="Normal"/>
    <w:next w:val="Normal"/>
    <w:autoRedefine/>
    <w:uiPriority w:val="39"/>
    <w:unhideWhenUsed/>
    <w:rsid w:val="001D2D1C"/>
    <w:pPr>
      <w:tabs>
        <w:tab w:val="right" w:leader="dot" w:pos="9016"/>
      </w:tabs>
      <w:spacing w:after="100"/>
    </w:pPr>
    <w:rPr>
      <w:color w:val="002060"/>
      <w:sz w:val="28"/>
      <w:szCs w:val="48"/>
    </w:rPr>
  </w:style>
  <w:style w:type="paragraph" w:styleId="TOC2">
    <w:name w:val="toc 2"/>
    <w:basedOn w:val="Normal"/>
    <w:next w:val="Normal"/>
    <w:autoRedefine/>
    <w:uiPriority w:val="39"/>
    <w:unhideWhenUsed/>
    <w:rsid w:val="00E41050"/>
    <w:pPr>
      <w:tabs>
        <w:tab w:val="right" w:leader="dot" w:pos="9016"/>
      </w:tabs>
      <w:spacing w:after="100"/>
      <w:ind w:left="170"/>
    </w:pPr>
    <w:rPr>
      <w:noProof/>
      <w:color w:val="002060"/>
    </w:rPr>
  </w:style>
  <w:style w:type="paragraph" w:styleId="TOC3">
    <w:name w:val="toc 3"/>
    <w:basedOn w:val="Normal"/>
    <w:next w:val="Normal"/>
    <w:autoRedefine/>
    <w:uiPriority w:val="39"/>
    <w:unhideWhenUsed/>
    <w:rsid w:val="007E2CF1"/>
    <w:pPr>
      <w:tabs>
        <w:tab w:val="right" w:leader="dot" w:pos="9016"/>
      </w:tabs>
      <w:spacing w:after="100"/>
    </w:pPr>
    <w:rPr>
      <w:noProof/>
      <w:color w:val="002060"/>
    </w:rPr>
  </w:style>
  <w:style w:type="table" w:styleId="TableGrid">
    <w:name w:val="Table Grid"/>
    <w:basedOn w:val="TableNormal"/>
    <w:uiPriority w:val="59"/>
    <w:rsid w:val="00687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5A53"/>
    <w:pPr>
      <w:spacing w:after="0" w:line="240" w:lineRule="auto"/>
    </w:pPr>
    <w:rPr>
      <w:sz w:val="24"/>
      <w:szCs w:val="24"/>
    </w:rPr>
  </w:style>
  <w:style w:type="character" w:customStyle="1" w:styleId="Heading4Char">
    <w:name w:val="Heading 4 Char"/>
    <w:basedOn w:val="DefaultParagraphFont"/>
    <w:link w:val="Heading4"/>
    <w:uiPriority w:val="9"/>
    <w:rsid w:val="00F01433"/>
    <w:rPr>
      <w:rFonts w:eastAsiaTheme="majorEastAsia" w:cstheme="majorBidi"/>
      <w:b/>
      <w:bCs/>
      <w:iCs/>
      <w:color w:val="081594"/>
      <w:sz w:val="24"/>
      <w:szCs w:val="24"/>
    </w:rPr>
  </w:style>
  <w:style w:type="character" w:customStyle="1" w:styleId="Heading5Char">
    <w:name w:val="Heading 5 Char"/>
    <w:basedOn w:val="DefaultParagraphFont"/>
    <w:link w:val="Heading5"/>
    <w:uiPriority w:val="9"/>
    <w:rsid w:val="00585CF7"/>
    <w:rPr>
      <w:rFonts w:asciiTheme="majorHAnsi" w:eastAsiaTheme="majorEastAsia" w:hAnsiTheme="majorHAnsi" w:cstheme="majorBidi"/>
      <w:color w:val="081594"/>
      <w:sz w:val="24"/>
      <w:szCs w:val="24"/>
    </w:rPr>
  </w:style>
  <w:style w:type="character" w:styleId="IntenseEmphasis">
    <w:name w:val="Intense Emphasis"/>
    <w:basedOn w:val="DefaultParagraphFont"/>
    <w:uiPriority w:val="21"/>
    <w:qFormat/>
    <w:rsid w:val="009D1CE5"/>
    <w:rPr>
      <w:b/>
      <w:bCs/>
      <w:i/>
      <w:iCs/>
      <w:color w:val="4F81BD" w:themeColor="accent1"/>
    </w:rPr>
  </w:style>
  <w:style w:type="character" w:styleId="SubtleEmphasis">
    <w:name w:val="Subtle Emphasis"/>
    <w:basedOn w:val="DefaultParagraphFont"/>
    <w:uiPriority w:val="19"/>
    <w:qFormat/>
    <w:rsid w:val="009D1CE5"/>
    <w:rPr>
      <w:i/>
      <w:iCs/>
      <w:color w:val="808080" w:themeColor="text1" w:themeTint="7F"/>
    </w:rPr>
  </w:style>
  <w:style w:type="paragraph" w:styleId="Subtitle">
    <w:name w:val="Subtitle"/>
    <w:basedOn w:val="Normal"/>
    <w:next w:val="Normal"/>
    <w:link w:val="SubtitleChar"/>
    <w:uiPriority w:val="11"/>
    <w:qFormat/>
    <w:rsid w:val="009D1CE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D1CE5"/>
    <w:rPr>
      <w:rFonts w:asciiTheme="majorHAnsi" w:eastAsiaTheme="majorEastAsia" w:hAnsiTheme="majorHAnsi" w:cstheme="majorBidi"/>
      <w:i/>
      <w:iCs/>
      <w:color w:val="4F81BD" w:themeColor="accent1"/>
      <w:spacing w:val="15"/>
      <w:sz w:val="24"/>
      <w:szCs w:val="24"/>
    </w:rPr>
  </w:style>
  <w:style w:type="character" w:styleId="SubtleReference">
    <w:name w:val="Subtle Reference"/>
    <w:basedOn w:val="DefaultParagraphFont"/>
    <w:uiPriority w:val="31"/>
    <w:qFormat/>
    <w:rsid w:val="009D1CE5"/>
    <w:rPr>
      <w:smallCaps/>
      <w:color w:val="C0504D" w:themeColor="accent2"/>
      <w:u w:val="single"/>
    </w:rPr>
  </w:style>
  <w:style w:type="paragraph" w:styleId="IntenseQuote">
    <w:name w:val="Intense Quote"/>
    <w:basedOn w:val="Normal"/>
    <w:next w:val="Normal"/>
    <w:link w:val="IntenseQuoteChar"/>
    <w:uiPriority w:val="30"/>
    <w:qFormat/>
    <w:rsid w:val="006E0AA9"/>
    <w:pPr>
      <w:pBdr>
        <w:top w:val="single" w:sz="4" w:space="1" w:color="081594"/>
        <w:bottom w:val="single" w:sz="4" w:space="4" w:color="081594"/>
      </w:pBdr>
      <w:spacing w:before="240" w:after="240"/>
      <w:ind w:left="567" w:right="567"/>
      <w:contextualSpacing/>
    </w:pPr>
    <w:rPr>
      <w:b/>
      <w:bCs/>
      <w:i/>
      <w:iCs/>
    </w:rPr>
  </w:style>
  <w:style w:type="character" w:customStyle="1" w:styleId="IntenseQuoteChar">
    <w:name w:val="Intense Quote Char"/>
    <w:basedOn w:val="DefaultParagraphFont"/>
    <w:link w:val="IntenseQuote"/>
    <w:uiPriority w:val="30"/>
    <w:rsid w:val="006E0AA9"/>
    <w:rPr>
      <w:b/>
      <w:bCs/>
      <w:i/>
      <w:iCs/>
      <w:sz w:val="24"/>
      <w:szCs w:val="24"/>
    </w:rPr>
  </w:style>
  <w:style w:type="paragraph" w:styleId="Quote">
    <w:name w:val="Quote"/>
    <w:basedOn w:val="Normal"/>
    <w:next w:val="Normal"/>
    <w:link w:val="QuoteChar"/>
    <w:uiPriority w:val="29"/>
    <w:qFormat/>
    <w:rsid w:val="009D1CE5"/>
    <w:rPr>
      <w:i/>
      <w:iCs/>
      <w:color w:val="000000" w:themeColor="text1"/>
    </w:rPr>
  </w:style>
  <w:style w:type="character" w:customStyle="1" w:styleId="QuoteChar">
    <w:name w:val="Quote Char"/>
    <w:basedOn w:val="DefaultParagraphFont"/>
    <w:link w:val="Quote"/>
    <w:uiPriority w:val="29"/>
    <w:rsid w:val="009D1CE5"/>
    <w:rPr>
      <w:i/>
      <w:iCs/>
      <w:color w:val="000000" w:themeColor="text1"/>
      <w:sz w:val="24"/>
      <w:szCs w:val="24"/>
    </w:rPr>
  </w:style>
  <w:style w:type="character" w:styleId="CommentReference">
    <w:name w:val="annotation reference"/>
    <w:basedOn w:val="DefaultParagraphFont"/>
    <w:uiPriority w:val="99"/>
    <w:semiHidden/>
    <w:unhideWhenUsed/>
    <w:rsid w:val="00B7282E"/>
    <w:rPr>
      <w:sz w:val="16"/>
      <w:szCs w:val="16"/>
    </w:rPr>
  </w:style>
  <w:style w:type="paragraph" w:styleId="CommentText">
    <w:name w:val="annotation text"/>
    <w:basedOn w:val="Normal"/>
    <w:link w:val="CommentTextChar"/>
    <w:uiPriority w:val="99"/>
    <w:semiHidden/>
    <w:unhideWhenUsed/>
    <w:rsid w:val="00B7282E"/>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B7282E"/>
    <w:rPr>
      <w:sz w:val="20"/>
      <w:szCs w:val="20"/>
    </w:rPr>
  </w:style>
  <w:style w:type="paragraph" w:styleId="FootnoteText">
    <w:name w:val="footnote text"/>
    <w:basedOn w:val="Normal"/>
    <w:link w:val="FootnoteTextChar"/>
    <w:uiPriority w:val="99"/>
    <w:unhideWhenUsed/>
    <w:rsid w:val="00B7282E"/>
    <w:pPr>
      <w:spacing w:after="0" w:line="240" w:lineRule="auto"/>
    </w:pPr>
    <w:rPr>
      <w:sz w:val="20"/>
      <w:szCs w:val="20"/>
    </w:rPr>
  </w:style>
  <w:style w:type="character" w:customStyle="1" w:styleId="FootnoteTextChar">
    <w:name w:val="Footnote Text Char"/>
    <w:basedOn w:val="DefaultParagraphFont"/>
    <w:link w:val="FootnoteText"/>
    <w:uiPriority w:val="99"/>
    <w:rsid w:val="00B7282E"/>
    <w:rPr>
      <w:sz w:val="20"/>
      <w:szCs w:val="20"/>
    </w:rPr>
  </w:style>
  <w:style w:type="character" w:styleId="FootnoteReference">
    <w:name w:val="footnote reference"/>
    <w:basedOn w:val="DefaultParagraphFont"/>
    <w:uiPriority w:val="99"/>
    <w:semiHidden/>
    <w:unhideWhenUsed/>
    <w:rsid w:val="00B7282E"/>
    <w:rPr>
      <w:vertAlign w:val="superscript"/>
    </w:rPr>
  </w:style>
  <w:style w:type="paragraph" w:styleId="NormalWeb">
    <w:name w:val="Normal (Web)"/>
    <w:basedOn w:val="Normal"/>
    <w:uiPriority w:val="99"/>
    <w:semiHidden/>
    <w:unhideWhenUsed/>
    <w:rsid w:val="00B7282E"/>
    <w:pPr>
      <w:spacing w:before="100" w:beforeAutospacing="1" w:after="100" w:afterAutospacing="1" w:line="240" w:lineRule="auto"/>
    </w:pPr>
    <w:rPr>
      <w:rFonts w:ascii="Times New Roman" w:eastAsia="Times New Roman" w:hAnsi="Times New Roman" w:cs="Times New Roman"/>
      <w:lang w:eastAsia="en-AU"/>
    </w:rPr>
  </w:style>
  <w:style w:type="character" w:styleId="Strong">
    <w:name w:val="Strong"/>
    <w:basedOn w:val="DefaultParagraphFont"/>
    <w:uiPriority w:val="22"/>
    <w:qFormat/>
    <w:rsid w:val="00564996"/>
    <w:rPr>
      <w:b/>
      <w:bCs/>
    </w:rPr>
  </w:style>
  <w:style w:type="paragraph" w:customStyle="1" w:styleId="Default">
    <w:name w:val="Default"/>
    <w:rsid w:val="00243480"/>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F86E08"/>
    <w:pPr>
      <w:spacing w:after="200"/>
    </w:pPr>
    <w:rPr>
      <w:b/>
      <w:bCs/>
    </w:rPr>
  </w:style>
  <w:style w:type="character" w:customStyle="1" w:styleId="CommentSubjectChar">
    <w:name w:val="Comment Subject Char"/>
    <w:basedOn w:val="CommentTextChar"/>
    <w:link w:val="CommentSubject"/>
    <w:uiPriority w:val="99"/>
    <w:semiHidden/>
    <w:rsid w:val="00F86E08"/>
    <w:rPr>
      <w:b/>
      <w:bCs/>
      <w:sz w:val="20"/>
      <w:szCs w:val="20"/>
    </w:rPr>
  </w:style>
  <w:style w:type="paragraph" w:styleId="Title">
    <w:name w:val="Title"/>
    <w:basedOn w:val="Normal"/>
    <w:next w:val="Normal"/>
    <w:link w:val="TitleChar"/>
    <w:uiPriority w:val="10"/>
    <w:qFormat/>
    <w:rsid w:val="00AA0BB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BB0"/>
    <w:rPr>
      <w:rFonts w:asciiTheme="majorHAnsi" w:eastAsiaTheme="majorEastAsia" w:hAnsiTheme="majorHAnsi" w:cstheme="majorBidi"/>
      <w:color w:val="17365D" w:themeColor="text2" w:themeShade="BF"/>
      <w:spacing w:val="5"/>
      <w:kern w:val="28"/>
      <w:sz w:val="52"/>
      <w:szCs w:val="52"/>
    </w:rPr>
  </w:style>
  <w:style w:type="character" w:customStyle="1" w:styleId="ListParagraphChar">
    <w:name w:val="List Paragraph Char"/>
    <w:aliases w:val="List Paragraph1 Char,List Paragraph11 Char,Recommendation Char"/>
    <w:link w:val="ListParagraph"/>
    <w:uiPriority w:val="34"/>
    <w:locked/>
    <w:rsid w:val="00355B4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45B"/>
    <w:pPr>
      <w:spacing w:after="120"/>
    </w:pPr>
    <w:rPr>
      <w:sz w:val="24"/>
      <w:szCs w:val="24"/>
    </w:rPr>
  </w:style>
  <w:style w:type="paragraph" w:styleId="Heading1">
    <w:name w:val="heading 1"/>
    <w:basedOn w:val="Normal"/>
    <w:next w:val="Normal"/>
    <w:link w:val="Heading1Char"/>
    <w:uiPriority w:val="9"/>
    <w:qFormat/>
    <w:rsid w:val="00201AF4"/>
    <w:pPr>
      <w:pBdr>
        <w:bottom w:val="single" w:sz="18" w:space="1" w:color="081594"/>
      </w:pBdr>
      <w:outlineLvl w:val="0"/>
    </w:pPr>
    <w:rPr>
      <w:b/>
      <w:noProof/>
      <w:color w:val="081594"/>
      <w:sz w:val="52"/>
      <w:szCs w:val="52"/>
      <w:lang w:eastAsia="en-AU"/>
    </w:rPr>
  </w:style>
  <w:style w:type="paragraph" w:styleId="Heading2">
    <w:name w:val="heading 2"/>
    <w:basedOn w:val="Normal"/>
    <w:next w:val="Normal"/>
    <w:link w:val="Heading2Char"/>
    <w:uiPriority w:val="9"/>
    <w:unhideWhenUsed/>
    <w:qFormat/>
    <w:rsid w:val="00A616F0"/>
    <w:pPr>
      <w:outlineLvl w:val="1"/>
    </w:pPr>
    <w:rPr>
      <w:b/>
      <w:caps/>
      <w:color w:val="081594"/>
      <w:sz w:val="40"/>
      <w:szCs w:val="40"/>
    </w:rPr>
  </w:style>
  <w:style w:type="paragraph" w:styleId="Heading3">
    <w:name w:val="heading 3"/>
    <w:basedOn w:val="Normal"/>
    <w:next w:val="Normal"/>
    <w:link w:val="Heading3Char"/>
    <w:uiPriority w:val="9"/>
    <w:unhideWhenUsed/>
    <w:qFormat/>
    <w:rsid w:val="00F01433"/>
    <w:pPr>
      <w:spacing w:before="360" w:after="60"/>
      <w:outlineLvl w:val="2"/>
    </w:pPr>
    <w:rPr>
      <w:b/>
      <w:color w:val="081594"/>
      <w:sz w:val="36"/>
      <w:szCs w:val="28"/>
    </w:rPr>
  </w:style>
  <w:style w:type="paragraph" w:styleId="Heading4">
    <w:name w:val="heading 4"/>
    <w:basedOn w:val="Normal"/>
    <w:next w:val="Normal"/>
    <w:link w:val="Heading4Char"/>
    <w:uiPriority w:val="9"/>
    <w:unhideWhenUsed/>
    <w:qFormat/>
    <w:rsid w:val="00F01433"/>
    <w:pPr>
      <w:keepNext/>
      <w:keepLines/>
      <w:spacing w:before="240" w:after="0"/>
      <w:outlineLvl w:val="3"/>
    </w:pPr>
    <w:rPr>
      <w:rFonts w:eastAsiaTheme="majorEastAsia" w:cstheme="majorBidi"/>
      <w:b/>
      <w:bCs/>
      <w:iCs/>
      <w:color w:val="081594"/>
    </w:rPr>
  </w:style>
  <w:style w:type="paragraph" w:styleId="Heading5">
    <w:name w:val="heading 5"/>
    <w:basedOn w:val="Normal"/>
    <w:next w:val="Normal"/>
    <w:link w:val="Heading5Char"/>
    <w:uiPriority w:val="9"/>
    <w:unhideWhenUsed/>
    <w:qFormat/>
    <w:rsid w:val="00585CF7"/>
    <w:pPr>
      <w:keepNext/>
      <w:keepLines/>
      <w:spacing w:before="200" w:after="0"/>
      <w:outlineLvl w:val="4"/>
    </w:pPr>
    <w:rPr>
      <w:rFonts w:asciiTheme="majorHAnsi" w:eastAsiaTheme="majorEastAsia" w:hAnsiTheme="majorHAnsi" w:cstheme="majorBidi"/>
      <w:color w:val="08159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FF6"/>
    <w:rPr>
      <w:rFonts w:ascii="Tahoma" w:hAnsi="Tahoma" w:cs="Tahoma"/>
      <w:sz w:val="16"/>
      <w:szCs w:val="16"/>
    </w:rPr>
  </w:style>
  <w:style w:type="character" w:customStyle="1" w:styleId="Heading1Char">
    <w:name w:val="Heading 1 Char"/>
    <w:basedOn w:val="DefaultParagraphFont"/>
    <w:link w:val="Heading1"/>
    <w:uiPriority w:val="9"/>
    <w:rsid w:val="00201AF4"/>
    <w:rPr>
      <w:b/>
      <w:noProof/>
      <w:color w:val="081594"/>
      <w:sz w:val="52"/>
      <w:szCs w:val="52"/>
      <w:lang w:eastAsia="en-AU"/>
    </w:rPr>
  </w:style>
  <w:style w:type="character" w:customStyle="1" w:styleId="Heading2Char">
    <w:name w:val="Heading 2 Char"/>
    <w:basedOn w:val="DefaultParagraphFont"/>
    <w:link w:val="Heading2"/>
    <w:uiPriority w:val="9"/>
    <w:rsid w:val="00A616F0"/>
    <w:rPr>
      <w:b/>
      <w:caps/>
      <w:color w:val="081594"/>
      <w:sz w:val="40"/>
      <w:szCs w:val="40"/>
    </w:rPr>
  </w:style>
  <w:style w:type="character" w:customStyle="1" w:styleId="Heading3Char">
    <w:name w:val="Heading 3 Char"/>
    <w:basedOn w:val="DefaultParagraphFont"/>
    <w:link w:val="Heading3"/>
    <w:uiPriority w:val="9"/>
    <w:rsid w:val="00F01433"/>
    <w:rPr>
      <w:b/>
      <w:color w:val="081594"/>
      <w:sz w:val="36"/>
      <w:szCs w:val="28"/>
    </w:rPr>
  </w:style>
  <w:style w:type="paragraph" w:styleId="ListParagraph">
    <w:name w:val="List Paragraph"/>
    <w:aliases w:val="List Paragraph1,List Paragraph11,Recommendation"/>
    <w:basedOn w:val="Normal"/>
    <w:link w:val="ListParagraphChar"/>
    <w:uiPriority w:val="34"/>
    <w:qFormat/>
    <w:rsid w:val="00201AF4"/>
    <w:pPr>
      <w:ind w:left="720"/>
      <w:contextualSpacing/>
    </w:pPr>
  </w:style>
  <w:style w:type="character" w:customStyle="1" w:styleId="apple-converted-space">
    <w:name w:val="apple-converted-space"/>
    <w:basedOn w:val="DefaultParagraphFont"/>
    <w:rsid w:val="00A22C64"/>
  </w:style>
  <w:style w:type="character" w:styleId="Hyperlink">
    <w:name w:val="Hyperlink"/>
    <w:basedOn w:val="DefaultParagraphFont"/>
    <w:uiPriority w:val="99"/>
    <w:unhideWhenUsed/>
    <w:rsid w:val="00A22C64"/>
    <w:rPr>
      <w:color w:val="0000FF"/>
      <w:u w:val="single"/>
    </w:rPr>
  </w:style>
  <w:style w:type="character" w:styleId="FollowedHyperlink">
    <w:name w:val="FollowedHyperlink"/>
    <w:basedOn w:val="DefaultParagraphFont"/>
    <w:uiPriority w:val="99"/>
    <w:semiHidden/>
    <w:unhideWhenUsed/>
    <w:rsid w:val="00A22C64"/>
    <w:rPr>
      <w:color w:val="800080" w:themeColor="followedHyperlink"/>
      <w:u w:val="single"/>
    </w:rPr>
  </w:style>
  <w:style w:type="paragraph" w:styleId="Header">
    <w:name w:val="header"/>
    <w:basedOn w:val="Normal"/>
    <w:link w:val="HeaderChar"/>
    <w:uiPriority w:val="99"/>
    <w:unhideWhenUsed/>
    <w:rsid w:val="00DD02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2DC"/>
    <w:rPr>
      <w:sz w:val="24"/>
      <w:szCs w:val="24"/>
    </w:rPr>
  </w:style>
  <w:style w:type="paragraph" w:styleId="Footer">
    <w:name w:val="footer"/>
    <w:basedOn w:val="Normal"/>
    <w:link w:val="FooterChar"/>
    <w:uiPriority w:val="99"/>
    <w:unhideWhenUsed/>
    <w:rsid w:val="00DD02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2DC"/>
    <w:rPr>
      <w:sz w:val="24"/>
      <w:szCs w:val="24"/>
    </w:rPr>
  </w:style>
  <w:style w:type="paragraph" w:styleId="TOCHeading">
    <w:name w:val="TOC Heading"/>
    <w:basedOn w:val="Heading1"/>
    <w:next w:val="Normal"/>
    <w:uiPriority w:val="39"/>
    <w:unhideWhenUsed/>
    <w:qFormat/>
    <w:rsid w:val="00F9055E"/>
    <w:pPr>
      <w:keepNext/>
      <w:keepLines/>
      <w:pBdr>
        <w:bottom w:val="none" w:sz="0" w:space="0" w:color="auto"/>
      </w:pBdr>
      <w:spacing w:before="480" w:after="0"/>
      <w:outlineLvl w:val="9"/>
    </w:pPr>
    <w:rPr>
      <w:rFonts w:asciiTheme="majorHAnsi" w:eastAsiaTheme="majorEastAsia" w:hAnsiTheme="majorHAnsi" w:cstheme="majorBidi"/>
      <w:bCs/>
      <w:noProof w:val="0"/>
      <w:color w:val="365F91" w:themeColor="accent1" w:themeShade="BF"/>
      <w:sz w:val="28"/>
      <w:szCs w:val="28"/>
      <w:lang w:val="en-US" w:eastAsia="ja-JP"/>
    </w:rPr>
  </w:style>
  <w:style w:type="paragraph" w:styleId="TOC1">
    <w:name w:val="toc 1"/>
    <w:basedOn w:val="Normal"/>
    <w:next w:val="Normal"/>
    <w:autoRedefine/>
    <w:uiPriority w:val="39"/>
    <w:unhideWhenUsed/>
    <w:rsid w:val="001D2D1C"/>
    <w:pPr>
      <w:tabs>
        <w:tab w:val="right" w:leader="dot" w:pos="9016"/>
      </w:tabs>
      <w:spacing w:after="100"/>
    </w:pPr>
    <w:rPr>
      <w:color w:val="002060"/>
      <w:sz w:val="28"/>
      <w:szCs w:val="48"/>
    </w:rPr>
  </w:style>
  <w:style w:type="paragraph" w:styleId="TOC2">
    <w:name w:val="toc 2"/>
    <w:basedOn w:val="Normal"/>
    <w:next w:val="Normal"/>
    <w:autoRedefine/>
    <w:uiPriority w:val="39"/>
    <w:unhideWhenUsed/>
    <w:rsid w:val="00E41050"/>
    <w:pPr>
      <w:tabs>
        <w:tab w:val="right" w:leader="dot" w:pos="9016"/>
      </w:tabs>
      <w:spacing w:after="100"/>
      <w:ind w:left="170"/>
    </w:pPr>
    <w:rPr>
      <w:noProof/>
      <w:color w:val="002060"/>
    </w:rPr>
  </w:style>
  <w:style w:type="paragraph" w:styleId="TOC3">
    <w:name w:val="toc 3"/>
    <w:basedOn w:val="Normal"/>
    <w:next w:val="Normal"/>
    <w:autoRedefine/>
    <w:uiPriority w:val="39"/>
    <w:unhideWhenUsed/>
    <w:rsid w:val="007E2CF1"/>
    <w:pPr>
      <w:tabs>
        <w:tab w:val="right" w:leader="dot" w:pos="9016"/>
      </w:tabs>
      <w:spacing w:after="100"/>
    </w:pPr>
    <w:rPr>
      <w:noProof/>
      <w:color w:val="002060"/>
    </w:rPr>
  </w:style>
  <w:style w:type="table" w:styleId="TableGrid">
    <w:name w:val="Table Grid"/>
    <w:basedOn w:val="TableNormal"/>
    <w:uiPriority w:val="59"/>
    <w:rsid w:val="00687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5A53"/>
    <w:pPr>
      <w:spacing w:after="0" w:line="240" w:lineRule="auto"/>
    </w:pPr>
    <w:rPr>
      <w:sz w:val="24"/>
      <w:szCs w:val="24"/>
    </w:rPr>
  </w:style>
  <w:style w:type="character" w:customStyle="1" w:styleId="Heading4Char">
    <w:name w:val="Heading 4 Char"/>
    <w:basedOn w:val="DefaultParagraphFont"/>
    <w:link w:val="Heading4"/>
    <w:uiPriority w:val="9"/>
    <w:rsid w:val="00F01433"/>
    <w:rPr>
      <w:rFonts w:eastAsiaTheme="majorEastAsia" w:cstheme="majorBidi"/>
      <w:b/>
      <w:bCs/>
      <w:iCs/>
      <w:color w:val="081594"/>
      <w:sz w:val="24"/>
      <w:szCs w:val="24"/>
    </w:rPr>
  </w:style>
  <w:style w:type="character" w:customStyle="1" w:styleId="Heading5Char">
    <w:name w:val="Heading 5 Char"/>
    <w:basedOn w:val="DefaultParagraphFont"/>
    <w:link w:val="Heading5"/>
    <w:uiPriority w:val="9"/>
    <w:rsid w:val="00585CF7"/>
    <w:rPr>
      <w:rFonts w:asciiTheme="majorHAnsi" w:eastAsiaTheme="majorEastAsia" w:hAnsiTheme="majorHAnsi" w:cstheme="majorBidi"/>
      <w:color w:val="081594"/>
      <w:sz w:val="24"/>
      <w:szCs w:val="24"/>
    </w:rPr>
  </w:style>
  <w:style w:type="character" w:styleId="IntenseEmphasis">
    <w:name w:val="Intense Emphasis"/>
    <w:basedOn w:val="DefaultParagraphFont"/>
    <w:uiPriority w:val="21"/>
    <w:qFormat/>
    <w:rsid w:val="009D1CE5"/>
    <w:rPr>
      <w:b/>
      <w:bCs/>
      <w:i/>
      <w:iCs/>
      <w:color w:val="4F81BD" w:themeColor="accent1"/>
    </w:rPr>
  </w:style>
  <w:style w:type="character" w:styleId="SubtleEmphasis">
    <w:name w:val="Subtle Emphasis"/>
    <w:basedOn w:val="DefaultParagraphFont"/>
    <w:uiPriority w:val="19"/>
    <w:qFormat/>
    <w:rsid w:val="009D1CE5"/>
    <w:rPr>
      <w:i/>
      <w:iCs/>
      <w:color w:val="808080" w:themeColor="text1" w:themeTint="7F"/>
    </w:rPr>
  </w:style>
  <w:style w:type="paragraph" w:styleId="Subtitle">
    <w:name w:val="Subtitle"/>
    <w:basedOn w:val="Normal"/>
    <w:next w:val="Normal"/>
    <w:link w:val="SubtitleChar"/>
    <w:uiPriority w:val="11"/>
    <w:qFormat/>
    <w:rsid w:val="009D1CE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D1CE5"/>
    <w:rPr>
      <w:rFonts w:asciiTheme="majorHAnsi" w:eastAsiaTheme="majorEastAsia" w:hAnsiTheme="majorHAnsi" w:cstheme="majorBidi"/>
      <w:i/>
      <w:iCs/>
      <w:color w:val="4F81BD" w:themeColor="accent1"/>
      <w:spacing w:val="15"/>
      <w:sz w:val="24"/>
      <w:szCs w:val="24"/>
    </w:rPr>
  </w:style>
  <w:style w:type="character" w:styleId="SubtleReference">
    <w:name w:val="Subtle Reference"/>
    <w:basedOn w:val="DefaultParagraphFont"/>
    <w:uiPriority w:val="31"/>
    <w:qFormat/>
    <w:rsid w:val="009D1CE5"/>
    <w:rPr>
      <w:smallCaps/>
      <w:color w:val="C0504D" w:themeColor="accent2"/>
      <w:u w:val="single"/>
    </w:rPr>
  </w:style>
  <w:style w:type="paragraph" w:styleId="IntenseQuote">
    <w:name w:val="Intense Quote"/>
    <w:basedOn w:val="Normal"/>
    <w:next w:val="Normal"/>
    <w:link w:val="IntenseQuoteChar"/>
    <w:uiPriority w:val="30"/>
    <w:qFormat/>
    <w:rsid w:val="006E0AA9"/>
    <w:pPr>
      <w:pBdr>
        <w:top w:val="single" w:sz="4" w:space="1" w:color="081594"/>
        <w:bottom w:val="single" w:sz="4" w:space="4" w:color="081594"/>
      </w:pBdr>
      <w:spacing w:before="240" w:after="240"/>
      <w:ind w:left="567" w:right="567"/>
      <w:contextualSpacing/>
    </w:pPr>
    <w:rPr>
      <w:b/>
      <w:bCs/>
      <w:i/>
      <w:iCs/>
    </w:rPr>
  </w:style>
  <w:style w:type="character" w:customStyle="1" w:styleId="IntenseQuoteChar">
    <w:name w:val="Intense Quote Char"/>
    <w:basedOn w:val="DefaultParagraphFont"/>
    <w:link w:val="IntenseQuote"/>
    <w:uiPriority w:val="30"/>
    <w:rsid w:val="006E0AA9"/>
    <w:rPr>
      <w:b/>
      <w:bCs/>
      <w:i/>
      <w:iCs/>
      <w:sz w:val="24"/>
      <w:szCs w:val="24"/>
    </w:rPr>
  </w:style>
  <w:style w:type="paragraph" w:styleId="Quote">
    <w:name w:val="Quote"/>
    <w:basedOn w:val="Normal"/>
    <w:next w:val="Normal"/>
    <w:link w:val="QuoteChar"/>
    <w:uiPriority w:val="29"/>
    <w:qFormat/>
    <w:rsid w:val="009D1CE5"/>
    <w:rPr>
      <w:i/>
      <w:iCs/>
      <w:color w:val="000000" w:themeColor="text1"/>
    </w:rPr>
  </w:style>
  <w:style w:type="character" w:customStyle="1" w:styleId="QuoteChar">
    <w:name w:val="Quote Char"/>
    <w:basedOn w:val="DefaultParagraphFont"/>
    <w:link w:val="Quote"/>
    <w:uiPriority w:val="29"/>
    <w:rsid w:val="009D1CE5"/>
    <w:rPr>
      <w:i/>
      <w:iCs/>
      <w:color w:val="000000" w:themeColor="text1"/>
      <w:sz w:val="24"/>
      <w:szCs w:val="24"/>
    </w:rPr>
  </w:style>
  <w:style w:type="character" w:styleId="CommentReference">
    <w:name w:val="annotation reference"/>
    <w:basedOn w:val="DefaultParagraphFont"/>
    <w:uiPriority w:val="99"/>
    <w:semiHidden/>
    <w:unhideWhenUsed/>
    <w:rsid w:val="00B7282E"/>
    <w:rPr>
      <w:sz w:val="16"/>
      <w:szCs w:val="16"/>
    </w:rPr>
  </w:style>
  <w:style w:type="paragraph" w:styleId="CommentText">
    <w:name w:val="annotation text"/>
    <w:basedOn w:val="Normal"/>
    <w:link w:val="CommentTextChar"/>
    <w:uiPriority w:val="99"/>
    <w:semiHidden/>
    <w:unhideWhenUsed/>
    <w:rsid w:val="00B7282E"/>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B7282E"/>
    <w:rPr>
      <w:sz w:val="20"/>
      <w:szCs w:val="20"/>
    </w:rPr>
  </w:style>
  <w:style w:type="paragraph" w:styleId="FootnoteText">
    <w:name w:val="footnote text"/>
    <w:basedOn w:val="Normal"/>
    <w:link w:val="FootnoteTextChar"/>
    <w:uiPriority w:val="99"/>
    <w:unhideWhenUsed/>
    <w:rsid w:val="00B7282E"/>
    <w:pPr>
      <w:spacing w:after="0" w:line="240" w:lineRule="auto"/>
    </w:pPr>
    <w:rPr>
      <w:sz w:val="20"/>
      <w:szCs w:val="20"/>
    </w:rPr>
  </w:style>
  <w:style w:type="character" w:customStyle="1" w:styleId="FootnoteTextChar">
    <w:name w:val="Footnote Text Char"/>
    <w:basedOn w:val="DefaultParagraphFont"/>
    <w:link w:val="FootnoteText"/>
    <w:uiPriority w:val="99"/>
    <w:rsid w:val="00B7282E"/>
    <w:rPr>
      <w:sz w:val="20"/>
      <w:szCs w:val="20"/>
    </w:rPr>
  </w:style>
  <w:style w:type="character" w:styleId="FootnoteReference">
    <w:name w:val="footnote reference"/>
    <w:basedOn w:val="DefaultParagraphFont"/>
    <w:uiPriority w:val="99"/>
    <w:semiHidden/>
    <w:unhideWhenUsed/>
    <w:rsid w:val="00B7282E"/>
    <w:rPr>
      <w:vertAlign w:val="superscript"/>
    </w:rPr>
  </w:style>
  <w:style w:type="paragraph" w:styleId="NormalWeb">
    <w:name w:val="Normal (Web)"/>
    <w:basedOn w:val="Normal"/>
    <w:uiPriority w:val="99"/>
    <w:semiHidden/>
    <w:unhideWhenUsed/>
    <w:rsid w:val="00B7282E"/>
    <w:pPr>
      <w:spacing w:before="100" w:beforeAutospacing="1" w:after="100" w:afterAutospacing="1" w:line="240" w:lineRule="auto"/>
    </w:pPr>
    <w:rPr>
      <w:rFonts w:ascii="Times New Roman" w:eastAsia="Times New Roman" w:hAnsi="Times New Roman" w:cs="Times New Roman"/>
      <w:lang w:eastAsia="en-AU"/>
    </w:rPr>
  </w:style>
  <w:style w:type="character" w:styleId="Strong">
    <w:name w:val="Strong"/>
    <w:basedOn w:val="DefaultParagraphFont"/>
    <w:uiPriority w:val="22"/>
    <w:qFormat/>
    <w:rsid w:val="00564996"/>
    <w:rPr>
      <w:b/>
      <w:bCs/>
    </w:rPr>
  </w:style>
  <w:style w:type="paragraph" w:customStyle="1" w:styleId="Default">
    <w:name w:val="Default"/>
    <w:rsid w:val="00243480"/>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F86E08"/>
    <w:pPr>
      <w:spacing w:after="200"/>
    </w:pPr>
    <w:rPr>
      <w:b/>
      <w:bCs/>
    </w:rPr>
  </w:style>
  <w:style w:type="character" w:customStyle="1" w:styleId="CommentSubjectChar">
    <w:name w:val="Comment Subject Char"/>
    <w:basedOn w:val="CommentTextChar"/>
    <w:link w:val="CommentSubject"/>
    <w:uiPriority w:val="99"/>
    <w:semiHidden/>
    <w:rsid w:val="00F86E08"/>
    <w:rPr>
      <w:b/>
      <w:bCs/>
      <w:sz w:val="20"/>
      <w:szCs w:val="20"/>
    </w:rPr>
  </w:style>
  <w:style w:type="paragraph" w:styleId="Title">
    <w:name w:val="Title"/>
    <w:basedOn w:val="Normal"/>
    <w:next w:val="Normal"/>
    <w:link w:val="TitleChar"/>
    <w:uiPriority w:val="10"/>
    <w:qFormat/>
    <w:rsid w:val="00AA0BB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BB0"/>
    <w:rPr>
      <w:rFonts w:asciiTheme="majorHAnsi" w:eastAsiaTheme="majorEastAsia" w:hAnsiTheme="majorHAnsi" w:cstheme="majorBidi"/>
      <w:color w:val="17365D" w:themeColor="text2" w:themeShade="BF"/>
      <w:spacing w:val="5"/>
      <w:kern w:val="28"/>
      <w:sz w:val="52"/>
      <w:szCs w:val="52"/>
    </w:rPr>
  </w:style>
  <w:style w:type="character" w:customStyle="1" w:styleId="ListParagraphChar">
    <w:name w:val="List Paragraph Char"/>
    <w:aliases w:val="List Paragraph1 Char,List Paragraph11 Char,Recommendation Char"/>
    <w:link w:val="ListParagraph"/>
    <w:uiPriority w:val="34"/>
    <w:locked/>
    <w:rsid w:val="00355B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57440">
      <w:bodyDiv w:val="1"/>
      <w:marLeft w:val="0"/>
      <w:marRight w:val="0"/>
      <w:marTop w:val="0"/>
      <w:marBottom w:val="0"/>
      <w:divBdr>
        <w:top w:val="none" w:sz="0" w:space="0" w:color="auto"/>
        <w:left w:val="none" w:sz="0" w:space="0" w:color="auto"/>
        <w:bottom w:val="none" w:sz="0" w:space="0" w:color="auto"/>
        <w:right w:val="none" w:sz="0" w:space="0" w:color="auto"/>
      </w:divBdr>
    </w:div>
    <w:div w:id="215432028">
      <w:bodyDiv w:val="1"/>
      <w:marLeft w:val="0"/>
      <w:marRight w:val="0"/>
      <w:marTop w:val="0"/>
      <w:marBottom w:val="0"/>
      <w:divBdr>
        <w:top w:val="none" w:sz="0" w:space="0" w:color="auto"/>
        <w:left w:val="none" w:sz="0" w:space="0" w:color="auto"/>
        <w:bottom w:val="none" w:sz="0" w:space="0" w:color="auto"/>
        <w:right w:val="none" w:sz="0" w:space="0" w:color="auto"/>
      </w:divBdr>
    </w:div>
    <w:div w:id="294871520">
      <w:bodyDiv w:val="1"/>
      <w:marLeft w:val="0"/>
      <w:marRight w:val="0"/>
      <w:marTop w:val="0"/>
      <w:marBottom w:val="0"/>
      <w:divBdr>
        <w:top w:val="none" w:sz="0" w:space="0" w:color="auto"/>
        <w:left w:val="none" w:sz="0" w:space="0" w:color="auto"/>
        <w:bottom w:val="none" w:sz="0" w:space="0" w:color="auto"/>
        <w:right w:val="none" w:sz="0" w:space="0" w:color="auto"/>
      </w:divBdr>
    </w:div>
    <w:div w:id="504901522">
      <w:bodyDiv w:val="1"/>
      <w:marLeft w:val="0"/>
      <w:marRight w:val="0"/>
      <w:marTop w:val="0"/>
      <w:marBottom w:val="0"/>
      <w:divBdr>
        <w:top w:val="none" w:sz="0" w:space="0" w:color="auto"/>
        <w:left w:val="none" w:sz="0" w:space="0" w:color="auto"/>
        <w:bottom w:val="none" w:sz="0" w:space="0" w:color="auto"/>
        <w:right w:val="none" w:sz="0" w:space="0" w:color="auto"/>
      </w:divBdr>
    </w:div>
    <w:div w:id="639848401">
      <w:bodyDiv w:val="1"/>
      <w:marLeft w:val="0"/>
      <w:marRight w:val="0"/>
      <w:marTop w:val="0"/>
      <w:marBottom w:val="0"/>
      <w:divBdr>
        <w:top w:val="none" w:sz="0" w:space="0" w:color="auto"/>
        <w:left w:val="none" w:sz="0" w:space="0" w:color="auto"/>
        <w:bottom w:val="none" w:sz="0" w:space="0" w:color="auto"/>
        <w:right w:val="none" w:sz="0" w:space="0" w:color="auto"/>
      </w:divBdr>
    </w:div>
    <w:div w:id="844900549">
      <w:bodyDiv w:val="1"/>
      <w:marLeft w:val="0"/>
      <w:marRight w:val="0"/>
      <w:marTop w:val="0"/>
      <w:marBottom w:val="0"/>
      <w:divBdr>
        <w:top w:val="none" w:sz="0" w:space="0" w:color="auto"/>
        <w:left w:val="none" w:sz="0" w:space="0" w:color="auto"/>
        <w:bottom w:val="none" w:sz="0" w:space="0" w:color="auto"/>
        <w:right w:val="none" w:sz="0" w:space="0" w:color="auto"/>
      </w:divBdr>
    </w:div>
    <w:div w:id="1255750053">
      <w:bodyDiv w:val="1"/>
      <w:marLeft w:val="0"/>
      <w:marRight w:val="0"/>
      <w:marTop w:val="0"/>
      <w:marBottom w:val="0"/>
      <w:divBdr>
        <w:top w:val="none" w:sz="0" w:space="0" w:color="auto"/>
        <w:left w:val="none" w:sz="0" w:space="0" w:color="auto"/>
        <w:bottom w:val="none" w:sz="0" w:space="0" w:color="auto"/>
        <w:right w:val="none" w:sz="0" w:space="0" w:color="auto"/>
      </w:divBdr>
    </w:div>
    <w:div w:id="1450205467">
      <w:bodyDiv w:val="1"/>
      <w:marLeft w:val="0"/>
      <w:marRight w:val="0"/>
      <w:marTop w:val="0"/>
      <w:marBottom w:val="0"/>
      <w:divBdr>
        <w:top w:val="none" w:sz="0" w:space="0" w:color="auto"/>
        <w:left w:val="none" w:sz="0" w:space="0" w:color="auto"/>
        <w:bottom w:val="none" w:sz="0" w:space="0" w:color="auto"/>
        <w:right w:val="none" w:sz="0" w:space="0" w:color="auto"/>
      </w:divBdr>
    </w:div>
    <w:div w:id="1559433183">
      <w:bodyDiv w:val="1"/>
      <w:marLeft w:val="0"/>
      <w:marRight w:val="0"/>
      <w:marTop w:val="0"/>
      <w:marBottom w:val="0"/>
      <w:divBdr>
        <w:top w:val="none" w:sz="0" w:space="0" w:color="auto"/>
        <w:left w:val="none" w:sz="0" w:space="0" w:color="auto"/>
        <w:bottom w:val="none" w:sz="0" w:space="0" w:color="auto"/>
        <w:right w:val="none" w:sz="0" w:space="0" w:color="auto"/>
      </w:divBdr>
    </w:div>
    <w:div w:id="1607879890">
      <w:bodyDiv w:val="1"/>
      <w:marLeft w:val="0"/>
      <w:marRight w:val="0"/>
      <w:marTop w:val="0"/>
      <w:marBottom w:val="0"/>
      <w:divBdr>
        <w:top w:val="none" w:sz="0" w:space="0" w:color="auto"/>
        <w:left w:val="none" w:sz="0" w:space="0" w:color="auto"/>
        <w:bottom w:val="none" w:sz="0" w:space="0" w:color="auto"/>
        <w:right w:val="none" w:sz="0" w:space="0" w:color="auto"/>
      </w:divBdr>
    </w:div>
    <w:div w:id="1662390990">
      <w:bodyDiv w:val="1"/>
      <w:marLeft w:val="0"/>
      <w:marRight w:val="0"/>
      <w:marTop w:val="0"/>
      <w:marBottom w:val="0"/>
      <w:divBdr>
        <w:top w:val="none" w:sz="0" w:space="0" w:color="auto"/>
        <w:left w:val="none" w:sz="0" w:space="0" w:color="auto"/>
        <w:bottom w:val="none" w:sz="0" w:space="0" w:color="auto"/>
        <w:right w:val="none" w:sz="0" w:space="0" w:color="auto"/>
      </w:divBdr>
    </w:div>
    <w:div w:id="180146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8D781-4AD5-4529-9C36-459D51340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3504</Words>
  <Characters>19977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 Armstrong</dc:creator>
  <cp:lastModifiedBy>Karin Swift</cp:lastModifiedBy>
  <cp:revision>3</cp:revision>
  <cp:lastPrinted>2016-03-23T02:37:00Z</cp:lastPrinted>
  <dcterms:created xsi:type="dcterms:W3CDTF">2016-03-23T02:37:00Z</dcterms:created>
  <dcterms:modified xsi:type="dcterms:W3CDTF">2016-03-23T02:39:00Z</dcterms:modified>
</cp:coreProperties>
</file>