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4C" w:rsidRDefault="0045504C" w:rsidP="0045504C">
      <w:pPr>
        <w:pStyle w:val="Heading1"/>
      </w:pPr>
      <w:bookmarkStart w:id="0" w:name="_Toc418002714"/>
      <w:bookmarkStart w:id="1" w:name="_Toc418002770"/>
      <w:bookmarkStart w:id="2" w:name="_Toc418057654"/>
    </w:p>
    <w:bookmarkEnd w:id="0"/>
    <w:bookmarkEnd w:id="1"/>
    <w:bookmarkEnd w:id="2"/>
    <w:p w:rsidR="0045504C" w:rsidRPr="00F9055E" w:rsidRDefault="005F1A2A" w:rsidP="0045504C">
      <w:pPr>
        <w:rPr>
          <w:lang w:eastAsia="en-AU"/>
        </w:rPr>
      </w:pPr>
      <w:r w:rsidRPr="005F1A2A">
        <w:rPr>
          <w:b/>
          <w:color w:val="081594"/>
          <w:sz w:val="40"/>
          <w:szCs w:val="40"/>
        </w:rPr>
        <w:t xml:space="preserve">Guide, Hearing and Assistance Dogs Amendment Bill 2015 </w:t>
      </w:r>
    </w:p>
    <w:p w:rsidR="0045504C" w:rsidRDefault="0045504C" w:rsidP="0045504C"/>
    <w:p w:rsidR="0045504C" w:rsidRDefault="0045504C" w:rsidP="0045504C"/>
    <w:p w:rsidR="0045504C" w:rsidRDefault="0045504C" w:rsidP="0045504C"/>
    <w:p w:rsidR="0045504C" w:rsidRPr="00F9055E" w:rsidRDefault="0045504C" w:rsidP="0045504C"/>
    <w:p w:rsidR="0045504C" w:rsidRDefault="0045504C" w:rsidP="0045504C">
      <w:r>
        <w:rPr>
          <w:noProof/>
          <w:lang w:eastAsia="en-AU"/>
        </w:rPr>
        <w:drawing>
          <wp:inline distT="0" distB="0" distL="0" distR="0" wp14:anchorId="2C7AE0B0" wp14:editId="010A89E5">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45504C" w:rsidRDefault="0045504C" w:rsidP="0045504C"/>
    <w:p w:rsidR="0045504C" w:rsidRDefault="0045504C" w:rsidP="0045504C"/>
    <w:p w:rsidR="0045504C" w:rsidRDefault="0045504C" w:rsidP="0045504C"/>
    <w:p w:rsidR="0045504C" w:rsidRDefault="0045504C" w:rsidP="0045504C"/>
    <w:p w:rsidR="0045504C" w:rsidRDefault="0045504C" w:rsidP="0045504C"/>
    <w:p w:rsidR="0045504C" w:rsidRDefault="0045504C" w:rsidP="0045504C"/>
    <w:p w:rsidR="005F1A2A" w:rsidRDefault="005F1A2A" w:rsidP="0045504C"/>
    <w:p w:rsidR="005F1A2A" w:rsidRDefault="005F1A2A" w:rsidP="0045504C"/>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45504C" w:rsidRPr="00FB0CEC" w:rsidRDefault="0045504C" w:rsidP="0045504C">
          <w:pPr>
            <w:pStyle w:val="TOCHeading"/>
            <w:tabs>
              <w:tab w:val="left" w:pos="1883"/>
            </w:tabs>
            <w:rPr>
              <w:rFonts w:eastAsiaTheme="minorHAnsi"/>
            </w:rPr>
          </w:pPr>
          <w:r w:rsidRPr="00FB0CEC">
            <w:rPr>
              <w:rFonts w:eastAsiaTheme="minorHAnsi"/>
            </w:rPr>
            <w:t>Contents</w:t>
          </w:r>
          <w:r>
            <w:rPr>
              <w:rFonts w:eastAsiaTheme="minorHAnsi"/>
            </w:rPr>
            <w:tab/>
          </w:r>
        </w:p>
        <w:p w:rsidR="005F1A2A" w:rsidRDefault="0045504C">
          <w:pPr>
            <w:pStyle w:val="TOC3"/>
            <w:rPr>
              <w:rFonts w:eastAsiaTheme="minorEastAsia"/>
              <w:color w:val="auto"/>
              <w:sz w:val="22"/>
              <w:szCs w:val="22"/>
              <w:lang w:eastAsia="en-AU"/>
            </w:rPr>
          </w:pPr>
          <w:r>
            <w:rPr>
              <w:color w:val="1F497D" w:themeColor="text2"/>
            </w:rPr>
            <w:fldChar w:fldCharType="begin"/>
          </w:r>
          <w:r>
            <w:instrText xml:space="preserve"> TOC \o "1-3" \h \z \u </w:instrText>
          </w:r>
          <w:r>
            <w:rPr>
              <w:color w:val="1F497D" w:themeColor="text2"/>
            </w:rPr>
            <w:fldChar w:fldCharType="separate"/>
          </w:r>
          <w:hyperlink w:anchor="_Toc428516232" w:history="1">
            <w:r w:rsidR="005F1A2A" w:rsidRPr="0098450A">
              <w:rPr>
                <w:rStyle w:val="Hyperlink"/>
              </w:rPr>
              <w:t>About Queenslanders with Disability Network (QDN)</w:t>
            </w:r>
            <w:r w:rsidR="005F1A2A">
              <w:rPr>
                <w:webHidden/>
              </w:rPr>
              <w:tab/>
            </w:r>
            <w:r w:rsidR="005F1A2A">
              <w:rPr>
                <w:webHidden/>
              </w:rPr>
              <w:fldChar w:fldCharType="begin"/>
            </w:r>
            <w:r w:rsidR="005F1A2A">
              <w:rPr>
                <w:webHidden/>
              </w:rPr>
              <w:instrText xml:space="preserve"> PAGEREF _Toc428516232 \h </w:instrText>
            </w:r>
            <w:r w:rsidR="005F1A2A">
              <w:rPr>
                <w:webHidden/>
              </w:rPr>
            </w:r>
            <w:r w:rsidR="005F1A2A">
              <w:rPr>
                <w:webHidden/>
              </w:rPr>
              <w:fldChar w:fldCharType="separate"/>
            </w:r>
            <w:r w:rsidR="00F672EF">
              <w:rPr>
                <w:webHidden/>
              </w:rPr>
              <w:t>3</w:t>
            </w:r>
            <w:r w:rsidR="005F1A2A">
              <w:rPr>
                <w:webHidden/>
              </w:rPr>
              <w:fldChar w:fldCharType="end"/>
            </w:r>
          </w:hyperlink>
        </w:p>
        <w:p w:rsidR="005F1A2A" w:rsidRDefault="002A3EF5">
          <w:pPr>
            <w:pStyle w:val="TOC3"/>
            <w:rPr>
              <w:rFonts w:eastAsiaTheme="minorEastAsia"/>
              <w:color w:val="auto"/>
              <w:sz w:val="22"/>
              <w:szCs w:val="22"/>
              <w:lang w:eastAsia="en-AU"/>
            </w:rPr>
          </w:pPr>
          <w:hyperlink w:anchor="_Toc428516233" w:history="1">
            <w:r w:rsidR="005F1A2A" w:rsidRPr="0098450A">
              <w:rPr>
                <w:rStyle w:val="Hyperlink"/>
              </w:rPr>
              <w:t>Value Statement on People with Disability</w:t>
            </w:r>
            <w:r w:rsidR="005F1A2A">
              <w:rPr>
                <w:webHidden/>
              </w:rPr>
              <w:tab/>
            </w:r>
            <w:r w:rsidR="005F1A2A">
              <w:rPr>
                <w:webHidden/>
              </w:rPr>
              <w:fldChar w:fldCharType="begin"/>
            </w:r>
            <w:r w:rsidR="005F1A2A">
              <w:rPr>
                <w:webHidden/>
              </w:rPr>
              <w:instrText xml:space="preserve"> PAGEREF _Toc428516233 \h </w:instrText>
            </w:r>
            <w:r w:rsidR="005F1A2A">
              <w:rPr>
                <w:webHidden/>
              </w:rPr>
            </w:r>
            <w:r w:rsidR="005F1A2A">
              <w:rPr>
                <w:webHidden/>
              </w:rPr>
              <w:fldChar w:fldCharType="separate"/>
            </w:r>
            <w:r w:rsidR="00F672EF">
              <w:rPr>
                <w:webHidden/>
              </w:rPr>
              <w:t>3</w:t>
            </w:r>
            <w:r w:rsidR="005F1A2A">
              <w:rPr>
                <w:webHidden/>
              </w:rPr>
              <w:fldChar w:fldCharType="end"/>
            </w:r>
          </w:hyperlink>
        </w:p>
        <w:p w:rsidR="005F1A2A" w:rsidRDefault="002A3EF5">
          <w:pPr>
            <w:pStyle w:val="TOC3"/>
            <w:rPr>
              <w:rFonts w:eastAsiaTheme="minorEastAsia"/>
              <w:color w:val="auto"/>
              <w:sz w:val="22"/>
              <w:szCs w:val="22"/>
              <w:lang w:eastAsia="en-AU"/>
            </w:rPr>
          </w:pPr>
          <w:hyperlink w:anchor="_Toc428516234" w:history="1">
            <w:r w:rsidR="005F1A2A" w:rsidRPr="0098450A">
              <w:rPr>
                <w:rStyle w:val="Hyperlink"/>
              </w:rPr>
              <w:t>About this Submission</w:t>
            </w:r>
            <w:r w:rsidR="005F1A2A">
              <w:rPr>
                <w:webHidden/>
              </w:rPr>
              <w:tab/>
            </w:r>
            <w:r w:rsidR="005F1A2A">
              <w:rPr>
                <w:webHidden/>
              </w:rPr>
              <w:fldChar w:fldCharType="begin"/>
            </w:r>
            <w:r w:rsidR="005F1A2A">
              <w:rPr>
                <w:webHidden/>
              </w:rPr>
              <w:instrText xml:space="preserve"> PAGEREF _Toc428516234 \h </w:instrText>
            </w:r>
            <w:r w:rsidR="005F1A2A">
              <w:rPr>
                <w:webHidden/>
              </w:rPr>
            </w:r>
            <w:r w:rsidR="005F1A2A">
              <w:rPr>
                <w:webHidden/>
              </w:rPr>
              <w:fldChar w:fldCharType="separate"/>
            </w:r>
            <w:r w:rsidR="00F672EF">
              <w:rPr>
                <w:webHidden/>
              </w:rPr>
              <w:t>4</w:t>
            </w:r>
            <w:r w:rsidR="005F1A2A">
              <w:rPr>
                <w:webHidden/>
              </w:rPr>
              <w:fldChar w:fldCharType="end"/>
            </w:r>
          </w:hyperlink>
        </w:p>
        <w:p w:rsidR="005F1A2A" w:rsidRDefault="002A3EF5">
          <w:pPr>
            <w:pStyle w:val="TOC3"/>
            <w:rPr>
              <w:rFonts w:eastAsiaTheme="minorEastAsia"/>
              <w:color w:val="auto"/>
              <w:sz w:val="22"/>
              <w:szCs w:val="22"/>
              <w:lang w:eastAsia="en-AU"/>
            </w:rPr>
          </w:pPr>
          <w:hyperlink w:anchor="_Toc428516235" w:history="1">
            <w:r w:rsidR="005F1A2A" w:rsidRPr="0098450A">
              <w:rPr>
                <w:rStyle w:val="Hyperlink"/>
              </w:rPr>
              <w:t>QDN Consultation and this submission</w:t>
            </w:r>
            <w:r w:rsidR="005F1A2A">
              <w:rPr>
                <w:webHidden/>
              </w:rPr>
              <w:tab/>
            </w:r>
            <w:r w:rsidR="005F1A2A">
              <w:rPr>
                <w:webHidden/>
              </w:rPr>
              <w:fldChar w:fldCharType="begin"/>
            </w:r>
            <w:r w:rsidR="005F1A2A">
              <w:rPr>
                <w:webHidden/>
              </w:rPr>
              <w:instrText xml:space="preserve"> PAGEREF _Toc428516235 \h </w:instrText>
            </w:r>
            <w:r w:rsidR="005F1A2A">
              <w:rPr>
                <w:webHidden/>
              </w:rPr>
            </w:r>
            <w:r w:rsidR="005F1A2A">
              <w:rPr>
                <w:webHidden/>
              </w:rPr>
              <w:fldChar w:fldCharType="separate"/>
            </w:r>
            <w:r w:rsidR="00F672EF">
              <w:rPr>
                <w:webHidden/>
              </w:rPr>
              <w:t>4</w:t>
            </w:r>
            <w:r w:rsidR="005F1A2A">
              <w:rPr>
                <w:webHidden/>
              </w:rPr>
              <w:fldChar w:fldCharType="end"/>
            </w:r>
          </w:hyperlink>
        </w:p>
        <w:p w:rsidR="005F1A2A" w:rsidRDefault="002A3EF5">
          <w:pPr>
            <w:pStyle w:val="TOC3"/>
            <w:rPr>
              <w:rFonts w:eastAsiaTheme="minorEastAsia"/>
              <w:color w:val="auto"/>
              <w:sz w:val="22"/>
              <w:szCs w:val="22"/>
              <w:lang w:eastAsia="en-AU"/>
            </w:rPr>
          </w:pPr>
          <w:hyperlink w:anchor="_Toc428516236" w:history="1">
            <w:r w:rsidR="005F1A2A" w:rsidRPr="0098450A">
              <w:rPr>
                <w:rStyle w:val="Hyperlink"/>
              </w:rPr>
              <w:t>Key Feedback</w:t>
            </w:r>
            <w:r w:rsidR="005F1A2A">
              <w:rPr>
                <w:webHidden/>
              </w:rPr>
              <w:tab/>
            </w:r>
            <w:r w:rsidR="005F1A2A">
              <w:rPr>
                <w:webHidden/>
              </w:rPr>
              <w:fldChar w:fldCharType="begin"/>
            </w:r>
            <w:r w:rsidR="005F1A2A">
              <w:rPr>
                <w:webHidden/>
              </w:rPr>
              <w:instrText xml:space="preserve"> PAGEREF _Toc428516236 \h </w:instrText>
            </w:r>
            <w:r w:rsidR="005F1A2A">
              <w:rPr>
                <w:webHidden/>
              </w:rPr>
            </w:r>
            <w:r w:rsidR="005F1A2A">
              <w:rPr>
                <w:webHidden/>
              </w:rPr>
              <w:fldChar w:fldCharType="separate"/>
            </w:r>
            <w:r w:rsidR="00F672EF">
              <w:rPr>
                <w:webHidden/>
              </w:rPr>
              <w:t>4</w:t>
            </w:r>
            <w:r w:rsidR="005F1A2A">
              <w:rPr>
                <w:webHidden/>
              </w:rPr>
              <w:fldChar w:fldCharType="end"/>
            </w:r>
          </w:hyperlink>
        </w:p>
        <w:p w:rsidR="005F1A2A" w:rsidRDefault="002A3EF5">
          <w:pPr>
            <w:pStyle w:val="TOC3"/>
            <w:rPr>
              <w:rFonts w:eastAsiaTheme="minorEastAsia"/>
              <w:color w:val="auto"/>
              <w:sz w:val="22"/>
              <w:szCs w:val="22"/>
              <w:lang w:eastAsia="en-AU"/>
            </w:rPr>
          </w:pPr>
          <w:hyperlink w:anchor="_Toc428516237" w:history="1">
            <w:r w:rsidR="005F1A2A" w:rsidRPr="0098450A">
              <w:rPr>
                <w:rStyle w:val="Hyperlink"/>
              </w:rPr>
              <w:t>Recommendations</w:t>
            </w:r>
            <w:r w:rsidR="005F1A2A">
              <w:rPr>
                <w:webHidden/>
              </w:rPr>
              <w:tab/>
            </w:r>
            <w:r w:rsidR="005F1A2A">
              <w:rPr>
                <w:webHidden/>
              </w:rPr>
              <w:fldChar w:fldCharType="begin"/>
            </w:r>
            <w:r w:rsidR="005F1A2A">
              <w:rPr>
                <w:webHidden/>
              </w:rPr>
              <w:instrText xml:space="preserve"> PAGEREF _Toc428516237 \h </w:instrText>
            </w:r>
            <w:r w:rsidR="005F1A2A">
              <w:rPr>
                <w:webHidden/>
              </w:rPr>
            </w:r>
            <w:r w:rsidR="005F1A2A">
              <w:rPr>
                <w:webHidden/>
              </w:rPr>
              <w:fldChar w:fldCharType="separate"/>
            </w:r>
            <w:r w:rsidR="00F672EF">
              <w:rPr>
                <w:webHidden/>
              </w:rPr>
              <w:t>4</w:t>
            </w:r>
            <w:r w:rsidR="005F1A2A">
              <w:rPr>
                <w:webHidden/>
              </w:rPr>
              <w:fldChar w:fldCharType="end"/>
            </w:r>
          </w:hyperlink>
        </w:p>
        <w:p w:rsidR="005F1A2A" w:rsidRDefault="002A3EF5">
          <w:pPr>
            <w:pStyle w:val="TOC2"/>
            <w:rPr>
              <w:rFonts w:eastAsiaTheme="minorEastAsia"/>
              <w:color w:val="auto"/>
              <w:sz w:val="22"/>
              <w:szCs w:val="22"/>
              <w:lang w:eastAsia="en-AU"/>
            </w:rPr>
          </w:pPr>
          <w:hyperlink w:anchor="_Toc428516238" w:history="1">
            <w:r w:rsidR="005F1A2A" w:rsidRPr="0098450A">
              <w:rPr>
                <w:rStyle w:val="Hyperlink"/>
              </w:rPr>
              <w:t>Conclusion</w:t>
            </w:r>
            <w:r w:rsidR="005F1A2A">
              <w:rPr>
                <w:webHidden/>
              </w:rPr>
              <w:tab/>
            </w:r>
            <w:r w:rsidR="005F1A2A">
              <w:rPr>
                <w:webHidden/>
              </w:rPr>
              <w:fldChar w:fldCharType="begin"/>
            </w:r>
            <w:r w:rsidR="005F1A2A">
              <w:rPr>
                <w:webHidden/>
              </w:rPr>
              <w:instrText xml:space="preserve"> PAGEREF _Toc428516238 \h </w:instrText>
            </w:r>
            <w:r w:rsidR="005F1A2A">
              <w:rPr>
                <w:webHidden/>
              </w:rPr>
            </w:r>
            <w:r w:rsidR="005F1A2A">
              <w:rPr>
                <w:webHidden/>
              </w:rPr>
              <w:fldChar w:fldCharType="separate"/>
            </w:r>
            <w:r w:rsidR="00F672EF">
              <w:rPr>
                <w:webHidden/>
              </w:rPr>
              <w:t>5</w:t>
            </w:r>
            <w:r w:rsidR="005F1A2A">
              <w:rPr>
                <w:webHidden/>
              </w:rPr>
              <w:fldChar w:fldCharType="end"/>
            </w:r>
          </w:hyperlink>
        </w:p>
        <w:p w:rsidR="0045504C" w:rsidRDefault="0045504C" w:rsidP="0045504C">
          <w:r>
            <w:rPr>
              <w:b/>
              <w:bCs/>
              <w:noProof/>
            </w:rPr>
            <w:fldChar w:fldCharType="end"/>
          </w:r>
        </w:p>
      </w:sdtContent>
    </w:sdt>
    <w:p w:rsidR="0045504C" w:rsidRDefault="0045504C" w:rsidP="0045504C"/>
    <w:p w:rsidR="0045504C" w:rsidRDefault="0045504C" w:rsidP="0045504C">
      <w:pPr>
        <w:pStyle w:val="Heading2"/>
      </w:pPr>
      <w:bookmarkStart w:id="3" w:name="_Toc418057655"/>
      <w:bookmarkStart w:id="4" w:name="_Toc413879492"/>
    </w:p>
    <w:p w:rsidR="0045504C" w:rsidRDefault="0045504C" w:rsidP="0045504C">
      <w:r>
        <w:br w:type="page"/>
      </w:r>
    </w:p>
    <w:p w:rsidR="0045504C" w:rsidRPr="00F9055E" w:rsidRDefault="0045504C" w:rsidP="0045504C">
      <w:pPr>
        <w:pStyle w:val="Heading3"/>
      </w:pPr>
      <w:bookmarkStart w:id="5" w:name="_Toc418057656"/>
      <w:bookmarkStart w:id="6" w:name="_Toc428516232"/>
      <w:bookmarkEnd w:id="3"/>
      <w:r w:rsidRPr="00F9055E">
        <w:lastRenderedPageBreak/>
        <w:t>About Queenslanders with Disability Network (QDN)</w:t>
      </w:r>
      <w:bookmarkEnd w:id="4"/>
      <w:bookmarkEnd w:id="5"/>
      <w:bookmarkEnd w:id="6"/>
    </w:p>
    <w:p w:rsidR="0045504C" w:rsidRPr="00F9055E" w:rsidRDefault="0045504C" w:rsidP="0069378B">
      <w:r w:rsidRPr="00F9055E">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45504C" w:rsidRDefault="0045504C" w:rsidP="0069378B">
      <w:r w:rsidRPr="00F9055E">
        <w:t xml:space="preserve">QDN has over 700 members across Queensland. All of QDN’s </w:t>
      </w:r>
      <w:r>
        <w:t xml:space="preserve">voting </w:t>
      </w:r>
      <w:r w:rsidRPr="00F9055E">
        <w:t>members are people with disability.</w:t>
      </w:r>
    </w:p>
    <w:p w:rsidR="0045504C" w:rsidRPr="00F9055E" w:rsidRDefault="0045504C" w:rsidP="0045504C">
      <w:pPr>
        <w:pStyle w:val="Heading3"/>
      </w:pPr>
      <w:bookmarkStart w:id="7" w:name="_Toc273107840"/>
      <w:bookmarkStart w:id="8" w:name="_Toc346890373"/>
      <w:bookmarkStart w:id="9" w:name="_Toc363828327"/>
      <w:bookmarkStart w:id="10" w:name="_Toc413879493"/>
      <w:bookmarkStart w:id="11" w:name="_Toc418057657"/>
      <w:bookmarkStart w:id="12" w:name="_Toc428516233"/>
      <w:r w:rsidRPr="00F9055E">
        <w:t>Value Statement on People with Disability</w:t>
      </w:r>
      <w:bookmarkEnd w:id="7"/>
      <w:bookmarkEnd w:id="8"/>
      <w:bookmarkEnd w:id="9"/>
      <w:bookmarkEnd w:id="10"/>
      <w:bookmarkEnd w:id="11"/>
      <w:bookmarkEnd w:id="12"/>
    </w:p>
    <w:p w:rsidR="0045504C" w:rsidRPr="00F9055E" w:rsidRDefault="0045504C" w:rsidP="0069378B">
      <w:r w:rsidRPr="00F9055E">
        <w:t>QDN’s work in providing feedback and input into systemic policy issues is based upon the organisation’s core values and the place of people with disability in an inclusive, Australian society.</w:t>
      </w:r>
      <w:r>
        <w:t xml:space="preserve"> </w:t>
      </w:r>
    </w:p>
    <w:p w:rsidR="0045504C" w:rsidRPr="00F9055E" w:rsidRDefault="0045504C" w:rsidP="0069378B">
      <w:r w:rsidRPr="00F9055E">
        <w:t>QDN believes that:</w:t>
      </w:r>
    </w:p>
    <w:p w:rsidR="0045504C" w:rsidRPr="00EF28B5" w:rsidRDefault="0045504C" w:rsidP="0045504C">
      <w:pPr>
        <w:pStyle w:val="ListParagraph"/>
        <w:numPr>
          <w:ilvl w:val="0"/>
          <w:numId w:val="1"/>
        </w:numPr>
      </w:pPr>
      <w:r w:rsidRPr="00EF28B5">
        <w:t>All people with disability have a right to a place in the community and have contributions to make to community. This is as empowered, free citizens who are as valued, present, participating and welcomed as members of any dynamic and diverse society.</w:t>
      </w:r>
    </w:p>
    <w:p w:rsidR="0045504C" w:rsidRPr="00EF28B5" w:rsidRDefault="0045504C" w:rsidP="0045504C">
      <w:pPr>
        <w:pStyle w:val="ListParagraph"/>
        <w:numPr>
          <w:ilvl w:val="0"/>
          <w:numId w:val="1"/>
        </w:numPr>
      </w:pPr>
      <w:r w:rsidRPr="00EF28B5">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45504C" w:rsidRPr="00EF28B5" w:rsidRDefault="0045504C" w:rsidP="0045504C">
      <w:pPr>
        <w:pStyle w:val="ListParagraph"/>
        <w:numPr>
          <w:ilvl w:val="0"/>
          <w:numId w:val="1"/>
        </w:numPr>
      </w:pPr>
      <w:r w:rsidRPr="00EF28B5">
        <w:t>Culturally and historically, people with disability are not afforded the same value, opportunities or access to community life.</w:t>
      </w:r>
    </w:p>
    <w:p w:rsidR="0045504C" w:rsidRPr="00EF28B5" w:rsidRDefault="0045504C" w:rsidP="0045504C">
      <w:pPr>
        <w:pStyle w:val="ListParagraph"/>
        <w:numPr>
          <w:ilvl w:val="0"/>
          <w:numId w:val="1"/>
        </w:numPr>
      </w:pPr>
      <w:r w:rsidRPr="00EF28B5">
        <w:t xml:space="preserve">Any inclusion in community for people with disability is conditional and vulnerable to withdrawal. </w:t>
      </w:r>
    </w:p>
    <w:p w:rsidR="0045504C" w:rsidRPr="00EF28B5" w:rsidRDefault="0045504C" w:rsidP="0045504C">
      <w:pPr>
        <w:pStyle w:val="ListParagraph"/>
        <w:numPr>
          <w:ilvl w:val="0"/>
          <w:numId w:val="1"/>
        </w:numPr>
      </w:pPr>
      <w:r w:rsidRPr="00EF28B5">
        <w:t>Many people with disability in Queensland are excluded from the most basic experiences of ordinary lives.</w:t>
      </w:r>
    </w:p>
    <w:p w:rsidR="0045504C" w:rsidRPr="00EF28B5" w:rsidRDefault="0045504C" w:rsidP="0045504C">
      <w:pPr>
        <w:pStyle w:val="ListParagraph"/>
        <w:numPr>
          <w:ilvl w:val="0"/>
          <w:numId w:val="1"/>
        </w:numPr>
      </w:pPr>
      <w:r w:rsidRPr="00EF28B5">
        <w:t>Current exclusionary practices are unacceptable and must be challenged.</w:t>
      </w:r>
    </w:p>
    <w:p w:rsidR="0045504C" w:rsidRPr="00EF28B5" w:rsidRDefault="0045504C" w:rsidP="0045504C">
      <w:pPr>
        <w:pStyle w:val="ListParagraph"/>
        <w:numPr>
          <w:ilvl w:val="0"/>
          <w:numId w:val="1"/>
        </w:numPr>
      </w:pPr>
      <w:r w:rsidRPr="00EF28B5">
        <w:t>These issues affect not only people with disability but the whole community.</w:t>
      </w:r>
    </w:p>
    <w:p w:rsidR="0045504C" w:rsidRDefault="0045504C" w:rsidP="0045504C">
      <w:pPr>
        <w:pStyle w:val="ListParagraph"/>
        <w:numPr>
          <w:ilvl w:val="0"/>
          <w:numId w:val="1"/>
        </w:numPr>
      </w:pPr>
      <w:r w:rsidRPr="00EF28B5">
        <w:t xml:space="preserve">The responsibility is shared. It lies within government (federal, state and local) and the community at large, to ensure that people with disability have a place and are resourced to </w:t>
      </w:r>
      <w:r w:rsidRPr="00F9055E">
        <w:t>belong in community.</w:t>
      </w:r>
      <w:bookmarkStart w:id="13" w:name="_Toc418057658"/>
    </w:p>
    <w:p w:rsidR="00ED32DC" w:rsidRDefault="00ED32DC" w:rsidP="0045504C">
      <w:pPr>
        <w:pStyle w:val="Heading3"/>
      </w:pPr>
    </w:p>
    <w:p w:rsidR="00ED32DC" w:rsidRDefault="00ED32DC" w:rsidP="00ED32DC">
      <w:pPr>
        <w:pStyle w:val="Heading3"/>
      </w:pPr>
      <w:bookmarkStart w:id="14" w:name="_Toc428516234"/>
      <w:r w:rsidRPr="00371677">
        <w:lastRenderedPageBreak/>
        <w:t>About this Submission</w:t>
      </w:r>
      <w:bookmarkEnd w:id="14"/>
    </w:p>
    <w:p w:rsidR="00ED32DC" w:rsidRDefault="00ED32DC" w:rsidP="00ED32DC">
      <w:r w:rsidRPr="00371677">
        <w:t>QDN’</w:t>
      </w:r>
      <w:r>
        <w:t xml:space="preserve">s submission responds to the proposed amendments to the </w:t>
      </w:r>
      <w:r w:rsidRPr="00F47A5B">
        <w:rPr>
          <w:i/>
        </w:rPr>
        <w:t>Guide, Hearing and Assistance Dogs Act 2009</w:t>
      </w:r>
      <w:r>
        <w:t>. These amendments are being made to give effect to recommendations made by the stakeholder review panel in 2013.</w:t>
      </w:r>
    </w:p>
    <w:p w:rsidR="00ED32DC" w:rsidRDefault="00ED32DC" w:rsidP="00ED32DC">
      <w:r>
        <w:t xml:space="preserve">QDN has been involved in the review process for the </w:t>
      </w:r>
      <w:r w:rsidRPr="00F47A5B">
        <w:rPr>
          <w:i/>
        </w:rPr>
        <w:t>Guide, Hearing and Assistance Dogs Act 2009</w:t>
      </w:r>
      <w:r>
        <w:rPr>
          <w:i/>
        </w:rPr>
        <w:t xml:space="preserve"> </w:t>
      </w:r>
      <w:r w:rsidRPr="00F47A5B">
        <w:t xml:space="preserve">as a member of the stakeholder review </w:t>
      </w:r>
      <w:r>
        <w:t>panel.</w:t>
      </w:r>
    </w:p>
    <w:p w:rsidR="0045504C" w:rsidRPr="00201AF4" w:rsidRDefault="0045504C" w:rsidP="0045504C">
      <w:pPr>
        <w:pStyle w:val="Heading3"/>
      </w:pPr>
      <w:bookmarkStart w:id="15" w:name="_Toc428516235"/>
      <w:r>
        <w:t>QDN Consultation</w:t>
      </w:r>
      <w:bookmarkEnd w:id="13"/>
      <w:r>
        <w:t xml:space="preserve"> and this submission</w:t>
      </w:r>
      <w:bookmarkEnd w:id="15"/>
      <w:r>
        <w:t xml:space="preserve"> </w:t>
      </w:r>
    </w:p>
    <w:p w:rsidR="0045504C" w:rsidRDefault="00402EDF" w:rsidP="0069378B">
      <w:r>
        <w:t>QDN has undertaken consultation across its 700 str</w:t>
      </w:r>
      <w:r w:rsidR="00191D3C">
        <w:t xml:space="preserve">ong state wide network of </w:t>
      </w:r>
      <w:r w:rsidR="0045504C">
        <w:t xml:space="preserve">members and </w:t>
      </w:r>
      <w:r w:rsidR="00191D3C">
        <w:t xml:space="preserve">from </w:t>
      </w:r>
      <w:r w:rsidR="0045504C">
        <w:t xml:space="preserve">key disability sector allies. </w:t>
      </w:r>
      <w:r>
        <w:t xml:space="preserve">As part of this, </w:t>
      </w:r>
      <w:r w:rsidR="0045504C">
        <w:t xml:space="preserve">QDN sought and received </w:t>
      </w:r>
      <w:r w:rsidR="005F1A2A">
        <w:t xml:space="preserve">targeted feedback on the review </w:t>
      </w:r>
      <w:r w:rsidR="0045504C">
        <w:t xml:space="preserve">from members </w:t>
      </w:r>
      <w:r w:rsidR="005F1A2A">
        <w:t xml:space="preserve">with lived </w:t>
      </w:r>
      <w:r w:rsidR="00191D3C">
        <w:t>experience</w:t>
      </w:r>
      <w:r w:rsidR="005F1A2A">
        <w:t xml:space="preserve"> of guide</w:t>
      </w:r>
      <w:r w:rsidR="00191D3C">
        <w:t>,</w:t>
      </w:r>
      <w:r w:rsidR="005F1A2A">
        <w:t xml:space="preserve"> </w:t>
      </w:r>
      <w:r w:rsidR="00191D3C">
        <w:t xml:space="preserve">hearing </w:t>
      </w:r>
      <w:r w:rsidR="005F1A2A">
        <w:t>and assistance dogs</w:t>
      </w:r>
      <w:r w:rsidR="00191D3C">
        <w:t>,</w:t>
      </w:r>
      <w:r w:rsidR="0045504C">
        <w:t xml:space="preserve"> a teleconference with QDN</w:t>
      </w:r>
      <w:r w:rsidR="00193314">
        <w:t xml:space="preserve">’s </w:t>
      </w:r>
      <w:r w:rsidR="0045504C">
        <w:t xml:space="preserve">Regional Facilitators </w:t>
      </w:r>
      <w:r w:rsidR="00F47A5B">
        <w:t xml:space="preserve">and discussion </w:t>
      </w:r>
      <w:r w:rsidR="0045504C">
        <w:t xml:space="preserve">with key disability sector organisations.  </w:t>
      </w:r>
    </w:p>
    <w:p w:rsidR="0045504C" w:rsidRDefault="0045504C" w:rsidP="0045504C">
      <w:pPr>
        <w:pStyle w:val="Heading3"/>
      </w:pPr>
      <w:bookmarkStart w:id="16" w:name="_Toc428516236"/>
      <w:r>
        <w:t>Key Feedback</w:t>
      </w:r>
      <w:bookmarkEnd w:id="16"/>
    </w:p>
    <w:p w:rsidR="0045504C" w:rsidRDefault="0045504C" w:rsidP="00F47A5B">
      <w:r>
        <w:t xml:space="preserve">QDN congratulates the </w:t>
      </w:r>
      <w:r w:rsidR="00E53076">
        <w:t>Queensland</w:t>
      </w:r>
      <w:r>
        <w:t xml:space="preserve"> Government on</w:t>
      </w:r>
      <w:r w:rsidR="00F47A5B">
        <w:t xml:space="preserve"> its adoption of the recommendations</w:t>
      </w:r>
      <w:r w:rsidR="00922D5B">
        <w:t xml:space="preserve"> made by the </w:t>
      </w:r>
      <w:r w:rsidR="00F47A5B">
        <w:t xml:space="preserve">stakeholder </w:t>
      </w:r>
      <w:r w:rsidR="00922D5B" w:rsidRPr="00922D5B">
        <w:t xml:space="preserve">review panel </w:t>
      </w:r>
      <w:r w:rsidR="00B641E9">
        <w:t xml:space="preserve">following its review of the </w:t>
      </w:r>
      <w:r w:rsidR="00E53076">
        <w:rPr>
          <w:i/>
          <w:iCs/>
          <w:sz w:val="23"/>
          <w:szCs w:val="23"/>
        </w:rPr>
        <w:t xml:space="preserve">Guide, Hearing and Assistance Dogs Act 2009 </w:t>
      </w:r>
      <w:r>
        <w:t>and welcomes the opportunity to make this response.</w:t>
      </w:r>
      <w:r w:rsidR="00922D5B">
        <w:t xml:space="preserve"> </w:t>
      </w:r>
    </w:p>
    <w:p w:rsidR="00402EDF" w:rsidRDefault="00402EDF" w:rsidP="00F47A5B">
      <w:r>
        <w:t xml:space="preserve">QDN welcomes the changes to this legislation </w:t>
      </w:r>
      <w:r w:rsidR="00003237">
        <w:t xml:space="preserve">which </w:t>
      </w:r>
      <w:r>
        <w:t>strengthen and improve access rights of guide, hearing and assistance dog user</w:t>
      </w:r>
      <w:r w:rsidR="00003237">
        <w:t xml:space="preserve">s, and reflects </w:t>
      </w:r>
      <w:r>
        <w:t xml:space="preserve">the intention of the recommendations of the panel. </w:t>
      </w:r>
    </w:p>
    <w:p w:rsidR="006F29B2" w:rsidRDefault="0045504C" w:rsidP="006F29B2">
      <w:pPr>
        <w:rPr>
          <w:lang w:val="en-US"/>
        </w:rPr>
      </w:pPr>
      <w:r>
        <w:t>QDN endorses the</w:t>
      </w:r>
      <w:r w:rsidR="00922D5B">
        <w:t xml:space="preserve"> </w:t>
      </w:r>
      <w:r w:rsidR="00922D5B">
        <w:rPr>
          <w:lang w:val="en-US"/>
        </w:rPr>
        <w:t>proposed</w:t>
      </w:r>
      <w:r w:rsidR="00922D5B">
        <w:t xml:space="preserve"> amendments to the bill </w:t>
      </w:r>
      <w:r w:rsidR="00402EDF">
        <w:t xml:space="preserve">which </w:t>
      </w:r>
      <w:r w:rsidR="00003237">
        <w:t>s</w:t>
      </w:r>
      <w:r w:rsidR="00922D5B">
        <w:t>implify the</w:t>
      </w:r>
      <w:r w:rsidR="00922D5B">
        <w:rPr>
          <w:lang w:val="en-US"/>
        </w:rPr>
        <w:t xml:space="preserve"> processes to trainers and users of guide</w:t>
      </w:r>
      <w:r w:rsidR="00191D3C">
        <w:rPr>
          <w:lang w:val="en-US"/>
        </w:rPr>
        <w:t>, hearing</w:t>
      </w:r>
      <w:r w:rsidR="00922D5B">
        <w:rPr>
          <w:lang w:val="en-US"/>
        </w:rPr>
        <w:t xml:space="preserve"> and assistance dogs</w:t>
      </w:r>
      <w:r w:rsidR="00ED32DC">
        <w:rPr>
          <w:lang w:val="en-US"/>
        </w:rPr>
        <w:t>, amendments to i</w:t>
      </w:r>
      <w:r w:rsidR="006F29B2">
        <w:rPr>
          <w:lang w:val="en-US"/>
        </w:rPr>
        <w:t xml:space="preserve">ncreasing the number of persons with disabilities to be granted access rights under the Act </w:t>
      </w:r>
      <w:r w:rsidR="00ED32DC">
        <w:rPr>
          <w:lang w:val="en-US"/>
        </w:rPr>
        <w:t xml:space="preserve">and the adoption of greater flexibility over current </w:t>
      </w:r>
      <w:r w:rsidR="006F29B2">
        <w:rPr>
          <w:lang w:val="en-US"/>
        </w:rPr>
        <w:t xml:space="preserve">rigid legislative requirements. </w:t>
      </w:r>
    </w:p>
    <w:p w:rsidR="0074002A" w:rsidRDefault="0074002A" w:rsidP="0074002A">
      <w:r>
        <w:t>The legislation needs to be an enabler for people with disability who use guide, hearing and assistance dogs to have their rights of access to public spaces is upheld within the community.</w:t>
      </w:r>
    </w:p>
    <w:p w:rsidR="00402EDF" w:rsidRDefault="0011256A" w:rsidP="0011256A">
      <w:pPr>
        <w:rPr>
          <w:lang w:val="en-US"/>
        </w:rPr>
      </w:pPr>
      <w:r>
        <w:rPr>
          <w:lang w:val="en-US"/>
        </w:rPr>
        <w:t xml:space="preserve">QDN </w:t>
      </w:r>
      <w:r w:rsidR="00B641E9">
        <w:rPr>
          <w:lang w:val="en-US"/>
        </w:rPr>
        <w:t xml:space="preserve">supports </w:t>
      </w:r>
      <w:r w:rsidR="00402EDF">
        <w:rPr>
          <w:lang w:val="en-US"/>
        </w:rPr>
        <w:t>o</w:t>
      </w:r>
      <w:r w:rsidR="00B641E9">
        <w:rPr>
          <w:lang w:val="en-US"/>
        </w:rPr>
        <w:t xml:space="preserve">ngoing engagement with people with </w:t>
      </w:r>
      <w:r w:rsidR="00424CF4">
        <w:rPr>
          <w:lang w:val="en-US"/>
        </w:rPr>
        <w:t>disability who use</w:t>
      </w:r>
      <w:r w:rsidR="00402EDF">
        <w:rPr>
          <w:lang w:val="en-US"/>
        </w:rPr>
        <w:t xml:space="preserve"> guide, hearing and assistance dogs to inform the implementation of this legislation</w:t>
      </w:r>
      <w:r w:rsidR="00061C8E">
        <w:rPr>
          <w:lang w:val="en-US"/>
        </w:rPr>
        <w:t>, including c</w:t>
      </w:r>
      <w:r w:rsidR="00003237">
        <w:rPr>
          <w:lang w:val="en-US"/>
        </w:rPr>
        <w:t>ompliance s</w:t>
      </w:r>
      <w:r w:rsidR="00061C8E">
        <w:rPr>
          <w:lang w:val="en-US"/>
        </w:rPr>
        <w:t>tandards</w:t>
      </w:r>
      <w:r w:rsidR="00402EDF">
        <w:rPr>
          <w:lang w:val="en-US"/>
        </w:rPr>
        <w:t xml:space="preserve"> and </w:t>
      </w:r>
      <w:r w:rsidR="00061C8E">
        <w:rPr>
          <w:lang w:val="en-US"/>
        </w:rPr>
        <w:t xml:space="preserve">any regulations that sit alongside this. </w:t>
      </w:r>
    </w:p>
    <w:p w:rsidR="000E05B0" w:rsidRDefault="00061C8E" w:rsidP="000E05B0">
      <w:pPr>
        <w:pStyle w:val="Heading3"/>
      </w:pPr>
      <w:bookmarkStart w:id="17" w:name="_Toc428516237"/>
      <w:r>
        <w:t>R</w:t>
      </w:r>
      <w:r w:rsidR="000E05B0">
        <w:t>ecommendations</w:t>
      </w:r>
      <w:bookmarkEnd w:id="17"/>
      <w:r w:rsidR="000E05B0">
        <w:t xml:space="preserve"> </w:t>
      </w:r>
    </w:p>
    <w:p w:rsidR="00003237" w:rsidRDefault="000E05B0" w:rsidP="000E05B0">
      <w:pPr>
        <w:rPr>
          <w:lang w:val="en-US"/>
        </w:rPr>
      </w:pPr>
      <w:r>
        <w:rPr>
          <w:lang w:val="en-US"/>
        </w:rPr>
        <w:t xml:space="preserve">QDN </w:t>
      </w:r>
      <w:r w:rsidR="00061C8E">
        <w:rPr>
          <w:lang w:val="en-US"/>
        </w:rPr>
        <w:t xml:space="preserve">supports the amendments that expand the definition of handler to include alternative handler and the changes that enable the alternative handler to be the primary person </w:t>
      </w:r>
      <w:r w:rsidR="00061C8E">
        <w:rPr>
          <w:lang w:val="en-US"/>
        </w:rPr>
        <w:lastRenderedPageBreak/>
        <w:t xml:space="preserve">responsible for the dog in particular circumstances. </w:t>
      </w:r>
      <w:r w:rsidR="00003237">
        <w:rPr>
          <w:lang w:val="en-US"/>
        </w:rPr>
        <w:t xml:space="preserve">There are a number of different scenarios included in the notes on the provisions of the Act. </w:t>
      </w:r>
    </w:p>
    <w:p w:rsidR="000E05B0" w:rsidRDefault="00003237" w:rsidP="000E05B0">
      <w:pPr>
        <w:rPr>
          <w:lang w:val="en-US"/>
        </w:rPr>
      </w:pPr>
      <w:r>
        <w:rPr>
          <w:lang w:val="en-US"/>
        </w:rPr>
        <w:t xml:space="preserve">QDN believes it is important that the development of regulations and implementation of this area of legislation enables users and people responsible for the access to a particular public space to be clear about the different range of scenarios where it will apply. Alternative handlers, and consequently the primary handler should not be denied access, discriminated or disadvantaged because of misinterpretations of this provision.  </w:t>
      </w:r>
      <w:r w:rsidR="00424CF4">
        <w:rPr>
          <w:lang w:val="en-US"/>
        </w:rPr>
        <w:t>QDN members have raised f</w:t>
      </w:r>
      <w:r>
        <w:rPr>
          <w:lang w:val="en-US"/>
        </w:rPr>
        <w:t>or example, an instance whereby the handle</w:t>
      </w:r>
      <w:r w:rsidR="000E05B0">
        <w:rPr>
          <w:lang w:val="en-US"/>
        </w:rPr>
        <w:t>r of a guide</w:t>
      </w:r>
      <w:r w:rsidR="00CB3B42">
        <w:rPr>
          <w:lang w:val="en-US"/>
        </w:rPr>
        <w:t>, hearing</w:t>
      </w:r>
      <w:r w:rsidR="000E05B0">
        <w:rPr>
          <w:lang w:val="en-US"/>
        </w:rPr>
        <w:t xml:space="preserve"> or</w:t>
      </w:r>
      <w:r>
        <w:rPr>
          <w:lang w:val="en-US"/>
        </w:rPr>
        <w:t xml:space="preserve"> assistance dog is hospitalized, w</w:t>
      </w:r>
      <w:r w:rsidR="000E05B0">
        <w:rPr>
          <w:lang w:val="en-US"/>
        </w:rPr>
        <w:t>hile accompan</w:t>
      </w:r>
      <w:r>
        <w:rPr>
          <w:lang w:val="en-US"/>
        </w:rPr>
        <w:t xml:space="preserve">ied by their dog, </w:t>
      </w:r>
      <w:r w:rsidR="000E05B0">
        <w:rPr>
          <w:lang w:val="en-US"/>
        </w:rPr>
        <w:t xml:space="preserve">and the dog requires toileting or to leave the location for other purposes. </w:t>
      </w:r>
    </w:p>
    <w:p w:rsidR="00242D78" w:rsidRDefault="00242D78" w:rsidP="000E05B0">
      <w:pPr>
        <w:rPr>
          <w:lang w:val="en-US"/>
        </w:rPr>
      </w:pPr>
      <w:r>
        <w:rPr>
          <w:lang w:val="en-US"/>
        </w:rPr>
        <w:t xml:space="preserve">In the implementation of this legislation, it is essential that all people with disability who fall under the legislative </w:t>
      </w:r>
      <w:r w:rsidR="00206970">
        <w:rPr>
          <w:lang w:val="en-US"/>
        </w:rPr>
        <w:t>definition</w:t>
      </w:r>
      <w:r w:rsidR="00003237">
        <w:rPr>
          <w:lang w:val="en-US"/>
        </w:rPr>
        <w:t xml:space="preserve"> of disability, including people with ongoing, persistent serious mental illness, be</w:t>
      </w:r>
      <w:r>
        <w:rPr>
          <w:lang w:val="en-US"/>
        </w:rPr>
        <w:t xml:space="preserve"> </w:t>
      </w:r>
      <w:r w:rsidR="00424CF4">
        <w:rPr>
          <w:lang w:val="en-US"/>
        </w:rPr>
        <w:t xml:space="preserve">acknowledged and </w:t>
      </w:r>
      <w:r>
        <w:rPr>
          <w:lang w:val="en-US"/>
        </w:rPr>
        <w:t xml:space="preserve">included. It will be important in the development of any regulations, communication strategies or awareness raising and education activities that people with disability, industry stakeholders, mainstream services and Government agencies are aware of the scope of who is included in this legislation. This will ensure that </w:t>
      </w:r>
      <w:r w:rsidR="00206970">
        <w:rPr>
          <w:lang w:val="en-US"/>
        </w:rPr>
        <w:t>individuals</w:t>
      </w:r>
      <w:r>
        <w:rPr>
          <w:lang w:val="en-US"/>
        </w:rPr>
        <w:t xml:space="preserve"> are not experiencing discrimination and challenges in living their day to day life. </w:t>
      </w:r>
    </w:p>
    <w:p w:rsidR="00E77566" w:rsidRDefault="0074002A" w:rsidP="00E77566">
      <w:r>
        <w:t xml:space="preserve">The practical outcomes of increased access to public spaces which </w:t>
      </w:r>
      <w:r w:rsidR="00E77566">
        <w:t xml:space="preserve">changes to the bill </w:t>
      </w:r>
      <w:r>
        <w:t xml:space="preserve">bring </w:t>
      </w:r>
      <w:r w:rsidR="00E77566">
        <w:t>rely heavily on the monitoring, investigative and enforcem</w:t>
      </w:r>
      <w:r>
        <w:t>ent requirements under the Ac</w:t>
      </w:r>
      <w:r w:rsidR="00E77566">
        <w:t xml:space="preserve">t.  </w:t>
      </w:r>
    </w:p>
    <w:p w:rsidR="00E77566" w:rsidRDefault="00E77566" w:rsidP="00E77566">
      <w:r>
        <w:t>To be effective in improving the lives of people with disability these legislative changes need to be both proactively enforced and effectively communicated with relevant stakeholder</w:t>
      </w:r>
      <w:r w:rsidR="00FA0B88">
        <w:t>s</w:t>
      </w:r>
      <w:r>
        <w:t xml:space="preserve">, in particular the transport and hospitality industries. </w:t>
      </w:r>
    </w:p>
    <w:p w:rsidR="00206970" w:rsidRDefault="00206970" w:rsidP="00E77566">
      <w:pPr>
        <w:rPr>
          <w:lang w:val="en-US"/>
        </w:rPr>
      </w:pPr>
      <w:r>
        <w:t xml:space="preserve">Raising the awareness of </w:t>
      </w:r>
      <w:r w:rsidR="00BF786E">
        <w:t xml:space="preserve">the </w:t>
      </w:r>
      <w:r>
        <w:t xml:space="preserve">legislative requirements that allow access to </w:t>
      </w:r>
      <w:r>
        <w:rPr>
          <w:lang w:val="en-US"/>
        </w:rPr>
        <w:t xml:space="preserve">guide, hearing and assistance dogs with all stakeholders is </w:t>
      </w:r>
      <w:r w:rsidR="00BF786E">
        <w:rPr>
          <w:lang w:val="en-US"/>
        </w:rPr>
        <w:t>crucial</w:t>
      </w:r>
      <w:r>
        <w:rPr>
          <w:lang w:val="en-US"/>
        </w:rPr>
        <w:t xml:space="preserve"> to achieving the aims of </w:t>
      </w:r>
      <w:r w:rsidR="00BF786E">
        <w:rPr>
          <w:lang w:val="en-US"/>
        </w:rPr>
        <w:t xml:space="preserve">the </w:t>
      </w:r>
      <w:r>
        <w:rPr>
          <w:lang w:val="en-US"/>
        </w:rPr>
        <w:t xml:space="preserve">legislative </w:t>
      </w:r>
      <w:r w:rsidR="00BF786E">
        <w:rPr>
          <w:lang w:val="en-US"/>
        </w:rPr>
        <w:t>amendments</w:t>
      </w:r>
      <w:r w:rsidR="00424CF4">
        <w:rPr>
          <w:lang w:val="en-US"/>
        </w:rPr>
        <w:t xml:space="preserve">, and compliance. </w:t>
      </w:r>
    </w:p>
    <w:p w:rsidR="00FA0B88" w:rsidRDefault="00BF786E" w:rsidP="00CB3B42">
      <w:r>
        <w:rPr>
          <w:lang w:val="en-US"/>
        </w:rPr>
        <w:t xml:space="preserve">Resources should also be directed to building the capacity of </w:t>
      </w:r>
      <w:r>
        <w:t>people with disability and the disability service system that supports them in inter</w:t>
      </w:r>
      <w:r w:rsidR="00424CF4">
        <w:t xml:space="preserve">acting with mainstream services and understanding their rights within the legislative framework. </w:t>
      </w:r>
      <w:r>
        <w:t>Giving people informatio</w:t>
      </w:r>
      <w:r w:rsidR="00424CF4">
        <w:t>n about their rights under the A</w:t>
      </w:r>
      <w:r>
        <w:t>ct is a fu</w:t>
      </w:r>
      <w:r w:rsidR="00424CF4">
        <w:t xml:space="preserve">ndamental step to ensuring the </w:t>
      </w:r>
      <w:r w:rsidR="002A3EF5">
        <w:t>a</w:t>
      </w:r>
      <w:r>
        <w:t xml:space="preserve">ims of the </w:t>
      </w:r>
      <w:r w:rsidR="002A3EF5">
        <w:t>A</w:t>
      </w:r>
      <w:r>
        <w:t xml:space="preserve">ct are achieved. </w:t>
      </w:r>
    </w:p>
    <w:p w:rsidR="00424CF4" w:rsidRDefault="00424CF4" w:rsidP="00CB3B42">
      <w:r>
        <w:t xml:space="preserve">QDN supports regulations around the accreditation of dog trainers and ongoing process of review and reaccreditation for this group to ensure high and consistent standards are maintained. </w:t>
      </w:r>
    </w:p>
    <w:p w:rsidR="00424CF4" w:rsidRDefault="00424CF4" w:rsidP="00CB3B42">
      <w:r>
        <w:lastRenderedPageBreak/>
        <w:t>QDN acknowledges the shift away from a</w:t>
      </w:r>
      <w:r w:rsidR="00303DF8">
        <w:t xml:space="preserve">n advisory committee mechanism to give authority to the Chief Executive to consult and call upon industry experts when assessing an application from a trainer or training institution seeking approval under the Act. </w:t>
      </w:r>
    </w:p>
    <w:p w:rsidR="00303DF8" w:rsidRDefault="00303DF8" w:rsidP="00CB3B42">
      <w:r>
        <w:t xml:space="preserve">QDN supports any approach which brings about streamlined processes and less red tape, however also sees that it is essential that the definition of industry experts </w:t>
      </w:r>
      <w:r w:rsidR="00003237">
        <w:t>sp</w:t>
      </w:r>
      <w:r>
        <w:t>ecifically include</w:t>
      </w:r>
      <w:r w:rsidR="00003237">
        <w:t>s</w:t>
      </w:r>
      <w:r>
        <w:t xml:space="preserve"> people with disability who use guide, hearing and assistance dogs as part of their day to day life. </w:t>
      </w:r>
    </w:p>
    <w:p w:rsidR="00303DF8" w:rsidRDefault="00303DF8" w:rsidP="00CB3B42">
      <w:r>
        <w:t>QDN would recommend that any definition of industry experts within regulations include people with disability as a key stakeholder</w:t>
      </w:r>
      <w:r w:rsidR="00003237">
        <w:t xml:space="preserve">. </w:t>
      </w:r>
      <w:r>
        <w:t xml:space="preserve">It is essential that they are called upon to share their views to inform decision-making and deliver good governance.  </w:t>
      </w:r>
    </w:p>
    <w:p w:rsidR="00303DF8" w:rsidRDefault="00303DF8" w:rsidP="00CB3B42">
      <w:r>
        <w:t xml:space="preserve">QDN also supports a consistent identification process across guide, hearing and assistance dogs. This will deliver </w:t>
      </w:r>
      <w:r w:rsidR="00003237">
        <w:t>great</w:t>
      </w:r>
      <w:r>
        <w:t xml:space="preserve"> community awareness, and smoother implementation and adoption of new regulations which uphold the rights of all users of dogs to access their community and live their life with the support they need. </w:t>
      </w:r>
    </w:p>
    <w:p w:rsidR="00BF786E" w:rsidRDefault="00BF786E" w:rsidP="00BF786E">
      <w:r>
        <w:t xml:space="preserve">Appropriate resourcing also needs to be available to ensure enforcement officers are able to be both proactive and to respond in a timely an effective way when complaints are received. </w:t>
      </w:r>
    </w:p>
    <w:p w:rsidR="0045504C" w:rsidRDefault="0045504C" w:rsidP="0045504C">
      <w:pPr>
        <w:pStyle w:val="Heading2"/>
      </w:pPr>
      <w:bookmarkStart w:id="18" w:name="_Toc428516238"/>
      <w:r>
        <w:t>Conclusion</w:t>
      </w:r>
      <w:bookmarkEnd w:id="18"/>
    </w:p>
    <w:p w:rsidR="0011256A" w:rsidRDefault="0045504C" w:rsidP="0045504C">
      <w:r w:rsidRPr="0011256A">
        <w:t xml:space="preserve">QDN acknowledges the positive steps </w:t>
      </w:r>
      <w:r w:rsidR="0011256A">
        <w:t xml:space="preserve">taken by the Queensland Government to ensure the legislation is relevant to the lived experience of people with disability and ensure that processes around </w:t>
      </w:r>
      <w:r w:rsidR="00CB3B42">
        <w:rPr>
          <w:lang w:val="en-US"/>
        </w:rPr>
        <w:t>guide, hearing or assistance dogs</w:t>
      </w:r>
      <w:r w:rsidR="00CB3B42" w:rsidDel="00CB3B42">
        <w:t xml:space="preserve"> </w:t>
      </w:r>
      <w:r w:rsidR="00303DF8">
        <w:t>improve the access rights of these member</w:t>
      </w:r>
      <w:r w:rsidR="002A3EF5">
        <w:t>s</w:t>
      </w:r>
      <w:r w:rsidR="00303DF8">
        <w:t xml:space="preserve"> of our communit</w:t>
      </w:r>
      <w:r w:rsidR="00003237">
        <w:t>y</w:t>
      </w:r>
      <w:r w:rsidR="002A3EF5">
        <w:t>.</w:t>
      </w:r>
      <w:bookmarkStart w:id="19" w:name="_GoBack"/>
      <w:bookmarkEnd w:id="19"/>
    </w:p>
    <w:p w:rsidR="00CB3B42" w:rsidRDefault="0011256A" w:rsidP="0045504C">
      <w:r>
        <w:t xml:space="preserve">QDN </w:t>
      </w:r>
      <w:r w:rsidR="00D54138">
        <w:t>acknowledges the Queensland Government for its engagement with people with lived experience of disability and other key stake</w:t>
      </w:r>
      <w:r w:rsidR="00CB3B42">
        <w:t xml:space="preserve"> </w:t>
      </w:r>
      <w:r w:rsidR="00D54138">
        <w:t>holders</w:t>
      </w:r>
      <w:r w:rsidR="00CB3B42">
        <w:t xml:space="preserve"> </w:t>
      </w:r>
      <w:r w:rsidR="00D54138">
        <w:t xml:space="preserve">in the review and development of legislation that has an impact upon people’s </w:t>
      </w:r>
      <w:r w:rsidR="00303DF8">
        <w:t>lives</w:t>
      </w:r>
      <w:r w:rsidR="00003237">
        <w:t xml:space="preserve">. We </w:t>
      </w:r>
      <w:r w:rsidR="00303DF8">
        <w:t>look</w:t>
      </w:r>
      <w:r w:rsidR="00003237">
        <w:t xml:space="preserve"> f</w:t>
      </w:r>
      <w:r w:rsidR="00303DF8">
        <w:t xml:space="preserve">orward to ongoing engagement with the Queensland Government around important issues for people with disability. </w:t>
      </w:r>
    </w:p>
    <w:p w:rsidR="0045504C" w:rsidRPr="00846917" w:rsidRDefault="0045504C" w:rsidP="0045504C">
      <w:r>
        <w:t>Queenslan</w:t>
      </w:r>
      <w:r w:rsidR="002F5FF4">
        <w:t>ders with Disability Network – 2</w:t>
      </w:r>
      <w:r w:rsidR="0011256A">
        <w:t>8</w:t>
      </w:r>
      <w:r>
        <w:t xml:space="preserve"> </w:t>
      </w:r>
      <w:r w:rsidR="0011256A">
        <w:t>August</w:t>
      </w:r>
      <w:r>
        <w:t xml:space="preserve"> 2015.</w:t>
      </w:r>
    </w:p>
    <w:p w:rsidR="000B05C1" w:rsidRDefault="000B05C1"/>
    <w:sectPr w:rsidR="000B05C1" w:rsidSect="0045504C">
      <w:headerReference w:type="even" r:id="rId9"/>
      <w:headerReference w:type="default" r:id="rId10"/>
      <w:footerReference w:type="even" r:id="rId11"/>
      <w:footerReference w:type="default" r:id="rId12"/>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12" w:rsidRDefault="00F40E12" w:rsidP="0045504C">
      <w:pPr>
        <w:spacing w:after="0" w:line="240" w:lineRule="auto"/>
      </w:pPr>
      <w:r>
        <w:separator/>
      </w:r>
    </w:p>
  </w:endnote>
  <w:endnote w:type="continuationSeparator" w:id="0">
    <w:p w:rsidR="00F40E12" w:rsidRDefault="00F40E12" w:rsidP="0045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19849"/>
      <w:docPartObj>
        <w:docPartGallery w:val="Page Numbers (Bottom of Page)"/>
        <w:docPartUnique/>
      </w:docPartObj>
    </w:sdtPr>
    <w:sdtEndPr>
      <w:rPr>
        <w:color w:val="7F7F7F" w:themeColor="background1" w:themeShade="7F"/>
        <w:spacing w:val="60"/>
      </w:rPr>
    </w:sdtEndPr>
    <w:sdtContent>
      <w:p w:rsidR="002A3EF5" w:rsidRDefault="002A3EF5" w:rsidP="002A3EF5">
        <w:pPr>
          <w:pStyle w:val="Footer"/>
        </w:pPr>
        <w:r>
          <w:t xml:space="preserve">Queenslanders with Disability Network LTD          </w:t>
        </w:r>
        <w:r>
          <w:tab/>
        </w:r>
        <w:r w:rsidRPr="00D1142C">
          <w:t>National Disability Advocacy Framework</w:t>
        </w:r>
      </w:p>
      <w:p w:rsidR="002A3EF5" w:rsidRDefault="002A3EF5" w:rsidP="002A3EF5">
        <w:pPr>
          <w:pStyle w:val="Footer"/>
        </w:pPr>
        <w:hyperlink r:id="rId1" w:history="1">
          <w:r w:rsidRPr="00A558E1">
            <w:rPr>
              <w:rStyle w:val="Hyperlink"/>
            </w:rPr>
            <w:t>www.qdn.org.au</w:t>
          </w:r>
        </w:hyperlink>
        <w:r>
          <w:t xml:space="preserve">                                                                                     </w:t>
        </w:r>
        <w:r>
          <w:tab/>
          <w:t>24 July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F5" w:rsidRDefault="002A3EF5" w:rsidP="002A3EF5">
    <w:pPr>
      <w:pStyle w:val="Footer"/>
    </w:pPr>
  </w:p>
  <w:p w:rsidR="002A3EF5" w:rsidRDefault="002A3EF5" w:rsidP="002A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12" w:rsidRDefault="00F40E12" w:rsidP="0045504C">
      <w:pPr>
        <w:spacing w:after="0" w:line="240" w:lineRule="auto"/>
      </w:pPr>
      <w:r>
        <w:separator/>
      </w:r>
    </w:p>
  </w:footnote>
  <w:footnote w:type="continuationSeparator" w:id="0">
    <w:p w:rsidR="00F40E12" w:rsidRDefault="00F40E12" w:rsidP="0045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2A3EF5" w:rsidRDefault="002A3EF5" w:rsidP="002A3EF5">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FE3D5D">
          <w:rPr>
            <w:b/>
            <w:bCs/>
            <w:noProof/>
          </w:rPr>
          <w:t>10</w:t>
        </w:r>
        <w:r>
          <w:rPr>
            <w:b/>
            <w:bCs/>
            <w:noProof/>
          </w:rPr>
          <w:fldChar w:fldCharType="end"/>
        </w:r>
      </w:p>
    </w:sdtContent>
  </w:sdt>
  <w:p w:rsidR="002A3EF5" w:rsidRDefault="002A3EF5" w:rsidP="002A3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2A3EF5" w:rsidRDefault="002A3EF5" w:rsidP="002A3EF5">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F7432" w:rsidRPr="006F7432">
          <w:rPr>
            <w:b/>
            <w:bCs/>
            <w:noProof/>
          </w:rPr>
          <w:t>6</w:t>
        </w:r>
        <w:r>
          <w:rPr>
            <w:b/>
            <w:bCs/>
            <w:noProof/>
          </w:rPr>
          <w:fldChar w:fldCharType="end"/>
        </w:r>
      </w:p>
    </w:sdtContent>
  </w:sdt>
  <w:p w:rsidR="002A3EF5" w:rsidRDefault="002A3EF5" w:rsidP="002A3EF5">
    <w:pPr>
      <w:pStyle w:val="Header"/>
    </w:pPr>
  </w:p>
  <w:p w:rsidR="002A3EF5" w:rsidRDefault="002A3EF5" w:rsidP="002A3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E9B"/>
    <w:multiLevelType w:val="hybridMultilevel"/>
    <w:tmpl w:val="F3F45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D2E65"/>
    <w:multiLevelType w:val="hybridMultilevel"/>
    <w:tmpl w:val="03BA5736"/>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E31EE"/>
    <w:multiLevelType w:val="hybridMultilevel"/>
    <w:tmpl w:val="B156D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7F2DAE"/>
    <w:multiLevelType w:val="hybridMultilevel"/>
    <w:tmpl w:val="64DE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D471A"/>
    <w:multiLevelType w:val="hybridMultilevel"/>
    <w:tmpl w:val="0490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B57889"/>
    <w:multiLevelType w:val="hybridMultilevel"/>
    <w:tmpl w:val="E318CC1A"/>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27027"/>
    <w:multiLevelType w:val="hybridMultilevel"/>
    <w:tmpl w:val="B8D8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B30E9"/>
    <w:multiLevelType w:val="hybridMultilevel"/>
    <w:tmpl w:val="6DFA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57CCA"/>
    <w:multiLevelType w:val="hybridMultilevel"/>
    <w:tmpl w:val="4600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E5FCF"/>
    <w:multiLevelType w:val="hybridMultilevel"/>
    <w:tmpl w:val="A148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F03EAF"/>
    <w:multiLevelType w:val="hybridMultilevel"/>
    <w:tmpl w:val="7E248E92"/>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5494F"/>
    <w:multiLevelType w:val="hybridMultilevel"/>
    <w:tmpl w:val="394E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5094E"/>
    <w:multiLevelType w:val="hybridMultilevel"/>
    <w:tmpl w:val="3668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164C84"/>
    <w:multiLevelType w:val="hybridMultilevel"/>
    <w:tmpl w:val="4B94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7363E2"/>
    <w:multiLevelType w:val="hybridMultilevel"/>
    <w:tmpl w:val="B04CD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D069E"/>
    <w:multiLevelType w:val="hybridMultilevel"/>
    <w:tmpl w:val="B7BC5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C810A9"/>
    <w:multiLevelType w:val="hybridMultilevel"/>
    <w:tmpl w:val="65CA6FF6"/>
    <w:lvl w:ilvl="0" w:tplc="7062E5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B1196"/>
    <w:multiLevelType w:val="hybridMultilevel"/>
    <w:tmpl w:val="B1407434"/>
    <w:lvl w:ilvl="0" w:tplc="B78277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0"/>
  </w:num>
  <w:num w:numId="5">
    <w:abstractNumId w:val="16"/>
  </w:num>
  <w:num w:numId="6">
    <w:abstractNumId w:val="14"/>
  </w:num>
  <w:num w:numId="7">
    <w:abstractNumId w:val="7"/>
  </w:num>
  <w:num w:numId="8">
    <w:abstractNumId w:val="15"/>
  </w:num>
  <w:num w:numId="9">
    <w:abstractNumId w:val="9"/>
  </w:num>
  <w:num w:numId="10">
    <w:abstractNumId w:val="0"/>
  </w:num>
  <w:num w:numId="11">
    <w:abstractNumId w:val="4"/>
  </w:num>
  <w:num w:numId="12">
    <w:abstractNumId w:val="8"/>
  </w:num>
  <w:num w:numId="13">
    <w:abstractNumId w:val="18"/>
  </w:num>
  <w:num w:numId="14">
    <w:abstractNumId w:val="5"/>
  </w:num>
  <w:num w:numId="15">
    <w:abstractNumId w:val="1"/>
  </w:num>
  <w:num w:numId="16">
    <w:abstractNumId w:val="6"/>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4C"/>
    <w:rsid w:val="00003237"/>
    <w:rsid w:val="00003A8D"/>
    <w:rsid w:val="00007038"/>
    <w:rsid w:val="000264F1"/>
    <w:rsid w:val="00026D41"/>
    <w:rsid w:val="00061C8E"/>
    <w:rsid w:val="000A20DF"/>
    <w:rsid w:val="000A2D71"/>
    <w:rsid w:val="000B05C1"/>
    <w:rsid w:val="000C276A"/>
    <w:rsid w:val="000E05B0"/>
    <w:rsid w:val="0011256A"/>
    <w:rsid w:val="00134005"/>
    <w:rsid w:val="001602B2"/>
    <w:rsid w:val="0016045B"/>
    <w:rsid w:val="00191D3C"/>
    <w:rsid w:val="00193314"/>
    <w:rsid w:val="001A12CD"/>
    <w:rsid w:val="00206970"/>
    <w:rsid w:val="00242D78"/>
    <w:rsid w:val="002443C7"/>
    <w:rsid w:val="00253B90"/>
    <w:rsid w:val="002A3EF5"/>
    <w:rsid w:val="002B0B66"/>
    <w:rsid w:val="002C0886"/>
    <w:rsid w:val="002C4AC8"/>
    <w:rsid w:val="002D2286"/>
    <w:rsid w:val="002D69C9"/>
    <w:rsid w:val="002F5FF4"/>
    <w:rsid w:val="00302516"/>
    <w:rsid w:val="00303DF8"/>
    <w:rsid w:val="00321BD8"/>
    <w:rsid w:val="00324199"/>
    <w:rsid w:val="003259F5"/>
    <w:rsid w:val="00360204"/>
    <w:rsid w:val="0037001A"/>
    <w:rsid w:val="00370E17"/>
    <w:rsid w:val="00371E75"/>
    <w:rsid w:val="00374BFA"/>
    <w:rsid w:val="0038175B"/>
    <w:rsid w:val="00384C5E"/>
    <w:rsid w:val="003D7BC4"/>
    <w:rsid w:val="00402EDF"/>
    <w:rsid w:val="00424CF4"/>
    <w:rsid w:val="0043355F"/>
    <w:rsid w:val="0045504C"/>
    <w:rsid w:val="0049503D"/>
    <w:rsid w:val="00496945"/>
    <w:rsid w:val="00496A76"/>
    <w:rsid w:val="004A21E7"/>
    <w:rsid w:val="004E6D16"/>
    <w:rsid w:val="005135F7"/>
    <w:rsid w:val="00561177"/>
    <w:rsid w:val="00561780"/>
    <w:rsid w:val="005F1A2A"/>
    <w:rsid w:val="00610F8A"/>
    <w:rsid w:val="00671D66"/>
    <w:rsid w:val="0067583E"/>
    <w:rsid w:val="0069378B"/>
    <w:rsid w:val="006D3A76"/>
    <w:rsid w:val="006D43C6"/>
    <w:rsid w:val="006E0F7A"/>
    <w:rsid w:val="006F29B2"/>
    <w:rsid w:val="006F7432"/>
    <w:rsid w:val="00702771"/>
    <w:rsid w:val="00730825"/>
    <w:rsid w:val="0074002A"/>
    <w:rsid w:val="007505DA"/>
    <w:rsid w:val="007531EF"/>
    <w:rsid w:val="00753B7B"/>
    <w:rsid w:val="00765977"/>
    <w:rsid w:val="007821B5"/>
    <w:rsid w:val="00786ADC"/>
    <w:rsid w:val="00794CDC"/>
    <w:rsid w:val="007A5EE3"/>
    <w:rsid w:val="007F07B0"/>
    <w:rsid w:val="0081326A"/>
    <w:rsid w:val="008466B9"/>
    <w:rsid w:val="008C1576"/>
    <w:rsid w:val="00922D5B"/>
    <w:rsid w:val="00930506"/>
    <w:rsid w:val="00937ADD"/>
    <w:rsid w:val="00963F62"/>
    <w:rsid w:val="00992BE4"/>
    <w:rsid w:val="009B37B0"/>
    <w:rsid w:val="009C0B90"/>
    <w:rsid w:val="009C4D14"/>
    <w:rsid w:val="009D0ADD"/>
    <w:rsid w:val="009F5518"/>
    <w:rsid w:val="009F7D30"/>
    <w:rsid w:val="00A10C8B"/>
    <w:rsid w:val="00A3162E"/>
    <w:rsid w:val="00A70798"/>
    <w:rsid w:val="00A814D3"/>
    <w:rsid w:val="00A868C7"/>
    <w:rsid w:val="00A94FE6"/>
    <w:rsid w:val="00AA7E4D"/>
    <w:rsid w:val="00AC75EA"/>
    <w:rsid w:val="00AE4F1B"/>
    <w:rsid w:val="00B0195F"/>
    <w:rsid w:val="00B037F9"/>
    <w:rsid w:val="00B24631"/>
    <w:rsid w:val="00B54F81"/>
    <w:rsid w:val="00B641E9"/>
    <w:rsid w:val="00B96688"/>
    <w:rsid w:val="00BE57A2"/>
    <w:rsid w:val="00BF786E"/>
    <w:rsid w:val="00C046E9"/>
    <w:rsid w:val="00C43A1C"/>
    <w:rsid w:val="00C66508"/>
    <w:rsid w:val="00CB3B42"/>
    <w:rsid w:val="00CD4B3D"/>
    <w:rsid w:val="00CE1308"/>
    <w:rsid w:val="00CF5968"/>
    <w:rsid w:val="00D13E05"/>
    <w:rsid w:val="00D20DC4"/>
    <w:rsid w:val="00D248D4"/>
    <w:rsid w:val="00D31804"/>
    <w:rsid w:val="00D506B0"/>
    <w:rsid w:val="00D52C02"/>
    <w:rsid w:val="00D54138"/>
    <w:rsid w:val="00D633C9"/>
    <w:rsid w:val="00E53076"/>
    <w:rsid w:val="00E77566"/>
    <w:rsid w:val="00ED32DC"/>
    <w:rsid w:val="00EE5417"/>
    <w:rsid w:val="00F227A5"/>
    <w:rsid w:val="00F40E12"/>
    <w:rsid w:val="00F47A5B"/>
    <w:rsid w:val="00F672EF"/>
    <w:rsid w:val="00FA0B88"/>
    <w:rsid w:val="00FE2427"/>
    <w:rsid w:val="00FF2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50829-7550-47A3-AEFE-D024D6AF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4C"/>
    <w:rPr>
      <w:sz w:val="24"/>
      <w:szCs w:val="24"/>
    </w:rPr>
  </w:style>
  <w:style w:type="paragraph" w:styleId="Heading1">
    <w:name w:val="heading 1"/>
    <w:basedOn w:val="Normal"/>
    <w:next w:val="Normal"/>
    <w:link w:val="Heading1Char"/>
    <w:uiPriority w:val="9"/>
    <w:qFormat/>
    <w:rsid w:val="0045504C"/>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45504C"/>
    <w:pPr>
      <w:outlineLvl w:val="1"/>
    </w:pPr>
    <w:rPr>
      <w:b/>
      <w:caps/>
      <w:color w:val="081594"/>
      <w:sz w:val="40"/>
      <w:szCs w:val="40"/>
    </w:rPr>
  </w:style>
  <w:style w:type="paragraph" w:styleId="Heading3">
    <w:name w:val="heading 3"/>
    <w:basedOn w:val="Normal"/>
    <w:next w:val="Normal"/>
    <w:link w:val="Heading3Char"/>
    <w:uiPriority w:val="9"/>
    <w:unhideWhenUsed/>
    <w:qFormat/>
    <w:rsid w:val="0045504C"/>
    <w:pPr>
      <w:outlineLvl w:val="2"/>
    </w:pPr>
    <w:rPr>
      <w:b/>
      <w:color w:val="081594"/>
      <w:sz w:val="36"/>
      <w:szCs w:val="28"/>
    </w:rPr>
  </w:style>
  <w:style w:type="paragraph" w:styleId="Heading4">
    <w:name w:val="heading 4"/>
    <w:basedOn w:val="Normal"/>
    <w:next w:val="Normal"/>
    <w:link w:val="Heading4Char"/>
    <w:uiPriority w:val="9"/>
    <w:unhideWhenUsed/>
    <w:qFormat/>
    <w:rsid w:val="0069378B"/>
    <w:pPr>
      <w:keepNext/>
      <w:keepLines/>
      <w:spacing w:before="200" w:after="0"/>
      <w:outlineLvl w:val="3"/>
    </w:pPr>
    <w:rPr>
      <w:rFonts w:asciiTheme="majorHAnsi" w:eastAsiaTheme="majorEastAsia" w:hAnsiTheme="majorHAnsi" w:cstheme="majorBidi"/>
      <w:b/>
      <w:bCs/>
      <w:iCs/>
      <w:color w:val="08159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04C"/>
    <w:rPr>
      <w:b/>
      <w:noProof/>
      <w:color w:val="081594"/>
      <w:sz w:val="52"/>
      <w:szCs w:val="52"/>
      <w:lang w:eastAsia="en-AU"/>
    </w:rPr>
  </w:style>
  <w:style w:type="character" w:customStyle="1" w:styleId="Heading2Char">
    <w:name w:val="Heading 2 Char"/>
    <w:basedOn w:val="DefaultParagraphFont"/>
    <w:link w:val="Heading2"/>
    <w:uiPriority w:val="9"/>
    <w:rsid w:val="0045504C"/>
    <w:rPr>
      <w:b/>
      <w:caps/>
      <w:color w:val="081594"/>
      <w:sz w:val="40"/>
      <w:szCs w:val="40"/>
    </w:rPr>
  </w:style>
  <w:style w:type="character" w:customStyle="1" w:styleId="Heading3Char">
    <w:name w:val="Heading 3 Char"/>
    <w:basedOn w:val="DefaultParagraphFont"/>
    <w:link w:val="Heading3"/>
    <w:uiPriority w:val="9"/>
    <w:rsid w:val="0045504C"/>
    <w:rPr>
      <w:b/>
      <w:color w:val="081594"/>
      <w:sz w:val="36"/>
      <w:szCs w:val="28"/>
    </w:rPr>
  </w:style>
  <w:style w:type="character" w:customStyle="1" w:styleId="Heading4Char">
    <w:name w:val="Heading 4 Char"/>
    <w:basedOn w:val="DefaultParagraphFont"/>
    <w:link w:val="Heading4"/>
    <w:uiPriority w:val="9"/>
    <w:rsid w:val="0069378B"/>
    <w:rPr>
      <w:rFonts w:asciiTheme="majorHAnsi" w:eastAsiaTheme="majorEastAsia" w:hAnsiTheme="majorHAnsi" w:cstheme="majorBidi"/>
      <w:b/>
      <w:bCs/>
      <w:iCs/>
      <w:color w:val="081594"/>
      <w:sz w:val="28"/>
      <w:szCs w:val="24"/>
    </w:rPr>
  </w:style>
  <w:style w:type="paragraph" w:styleId="ListParagraph">
    <w:name w:val="List Paragraph"/>
    <w:basedOn w:val="Normal"/>
    <w:uiPriority w:val="34"/>
    <w:qFormat/>
    <w:rsid w:val="0045504C"/>
    <w:pPr>
      <w:ind w:left="720"/>
      <w:contextualSpacing/>
    </w:pPr>
  </w:style>
  <w:style w:type="character" w:styleId="Hyperlink">
    <w:name w:val="Hyperlink"/>
    <w:basedOn w:val="DefaultParagraphFont"/>
    <w:uiPriority w:val="99"/>
    <w:unhideWhenUsed/>
    <w:rsid w:val="0045504C"/>
    <w:rPr>
      <w:color w:val="0000FF"/>
      <w:u w:val="single"/>
    </w:rPr>
  </w:style>
  <w:style w:type="paragraph" w:styleId="Header">
    <w:name w:val="header"/>
    <w:basedOn w:val="Normal"/>
    <w:link w:val="HeaderChar"/>
    <w:uiPriority w:val="99"/>
    <w:unhideWhenUsed/>
    <w:rsid w:val="0045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4C"/>
    <w:rPr>
      <w:sz w:val="24"/>
      <w:szCs w:val="24"/>
    </w:rPr>
  </w:style>
  <w:style w:type="paragraph" w:styleId="Footer">
    <w:name w:val="footer"/>
    <w:basedOn w:val="Normal"/>
    <w:link w:val="FooterChar"/>
    <w:uiPriority w:val="99"/>
    <w:unhideWhenUsed/>
    <w:rsid w:val="0045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4C"/>
    <w:rPr>
      <w:sz w:val="24"/>
      <w:szCs w:val="24"/>
    </w:rPr>
  </w:style>
  <w:style w:type="paragraph" w:styleId="TOCHeading">
    <w:name w:val="TOC Heading"/>
    <w:basedOn w:val="Heading1"/>
    <w:next w:val="Normal"/>
    <w:uiPriority w:val="39"/>
    <w:unhideWhenUsed/>
    <w:qFormat/>
    <w:rsid w:val="0045504C"/>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2">
    <w:name w:val="toc 2"/>
    <w:basedOn w:val="Normal"/>
    <w:next w:val="Normal"/>
    <w:autoRedefine/>
    <w:uiPriority w:val="39"/>
    <w:unhideWhenUsed/>
    <w:rsid w:val="0045504C"/>
    <w:pPr>
      <w:tabs>
        <w:tab w:val="right" w:leader="dot" w:pos="9016"/>
      </w:tabs>
      <w:spacing w:after="100"/>
    </w:pPr>
    <w:rPr>
      <w:noProof/>
      <w:color w:val="1F497D" w:themeColor="text2"/>
    </w:rPr>
  </w:style>
  <w:style w:type="paragraph" w:styleId="TOC3">
    <w:name w:val="toc 3"/>
    <w:basedOn w:val="Normal"/>
    <w:next w:val="Normal"/>
    <w:autoRedefine/>
    <w:uiPriority w:val="39"/>
    <w:unhideWhenUsed/>
    <w:rsid w:val="0045504C"/>
    <w:pPr>
      <w:tabs>
        <w:tab w:val="right" w:leader="dot" w:pos="9016"/>
      </w:tabs>
      <w:spacing w:after="100"/>
    </w:pPr>
    <w:rPr>
      <w:noProof/>
      <w:color w:val="002060"/>
    </w:rPr>
  </w:style>
  <w:style w:type="paragraph" w:styleId="FootnoteText">
    <w:name w:val="footnote text"/>
    <w:basedOn w:val="Normal"/>
    <w:link w:val="FootnoteTextChar"/>
    <w:uiPriority w:val="99"/>
    <w:unhideWhenUsed/>
    <w:rsid w:val="0045504C"/>
    <w:pPr>
      <w:spacing w:after="0" w:line="240" w:lineRule="auto"/>
    </w:pPr>
    <w:rPr>
      <w:sz w:val="20"/>
      <w:szCs w:val="20"/>
    </w:rPr>
  </w:style>
  <w:style w:type="character" w:customStyle="1" w:styleId="FootnoteTextChar">
    <w:name w:val="Footnote Text Char"/>
    <w:basedOn w:val="DefaultParagraphFont"/>
    <w:link w:val="FootnoteText"/>
    <w:uiPriority w:val="99"/>
    <w:rsid w:val="0045504C"/>
    <w:rPr>
      <w:sz w:val="20"/>
      <w:szCs w:val="20"/>
    </w:rPr>
  </w:style>
  <w:style w:type="character" w:styleId="FootnoteReference">
    <w:name w:val="footnote reference"/>
    <w:basedOn w:val="DefaultParagraphFont"/>
    <w:uiPriority w:val="99"/>
    <w:semiHidden/>
    <w:unhideWhenUsed/>
    <w:rsid w:val="0045504C"/>
    <w:rPr>
      <w:vertAlign w:val="superscript"/>
    </w:rPr>
  </w:style>
  <w:style w:type="paragraph" w:styleId="BalloonText">
    <w:name w:val="Balloon Text"/>
    <w:basedOn w:val="Normal"/>
    <w:link w:val="BalloonTextChar"/>
    <w:uiPriority w:val="99"/>
    <w:semiHidden/>
    <w:unhideWhenUsed/>
    <w:rsid w:val="0045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4C"/>
    <w:rPr>
      <w:rFonts w:ascii="Tahoma" w:hAnsi="Tahoma" w:cs="Tahoma"/>
      <w:sz w:val="16"/>
      <w:szCs w:val="16"/>
    </w:rPr>
  </w:style>
  <w:style w:type="paragraph" w:customStyle="1" w:styleId="Default">
    <w:name w:val="Default"/>
    <w:rsid w:val="00E530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41E9"/>
    <w:rPr>
      <w:sz w:val="16"/>
      <w:szCs w:val="16"/>
    </w:rPr>
  </w:style>
  <w:style w:type="paragraph" w:styleId="CommentText">
    <w:name w:val="annotation text"/>
    <w:basedOn w:val="Normal"/>
    <w:link w:val="CommentTextChar"/>
    <w:uiPriority w:val="99"/>
    <w:semiHidden/>
    <w:unhideWhenUsed/>
    <w:rsid w:val="00B641E9"/>
    <w:pPr>
      <w:spacing w:line="240" w:lineRule="auto"/>
    </w:pPr>
    <w:rPr>
      <w:sz w:val="20"/>
      <w:szCs w:val="20"/>
    </w:rPr>
  </w:style>
  <w:style w:type="character" w:customStyle="1" w:styleId="CommentTextChar">
    <w:name w:val="Comment Text Char"/>
    <w:basedOn w:val="DefaultParagraphFont"/>
    <w:link w:val="CommentText"/>
    <w:uiPriority w:val="99"/>
    <w:semiHidden/>
    <w:rsid w:val="00B641E9"/>
    <w:rPr>
      <w:sz w:val="20"/>
      <w:szCs w:val="20"/>
    </w:rPr>
  </w:style>
  <w:style w:type="paragraph" w:styleId="CommentSubject">
    <w:name w:val="annotation subject"/>
    <w:basedOn w:val="CommentText"/>
    <w:next w:val="CommentText"/>
    <w:link w:val="CommentSubjectChar"/>
    <w:uiPriority w:val="99"/>
    <w:semiHidden/>
    <w:unhideWhenUsed/>
    <w:rsid w:val="00B641E9"/>
    <w:rPr>
      <w:b/>
      <w:bCs/>
    </w:rPr>
  </w:style>
  <w:style w:type="character" w:customStyle="1" w:styleId="CommentSubjectChar">
    <w:name w:val="Comment Subject Char"/>
    <w:basedOn w:val="CommentTextChar"/>
    <w:link w:val="CommentSubject"/>
    <w:uiPriority w:val="99"/>
    <w:semiHidden/>
    <w:rsid w:val="00B64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DAE4-DB14-47CA-A931-B4AE79AC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Swift</dc:creator>
  <cp:lastModifiedBy>Michelle Moss</cp:lastModifiedBy>
  <cp:revision>2</cp:revision>
  <cp:lastPrinted>2015-08-27T23:53:00Z</cp:lastPrinted>
  <dcterms:created xsi:type="dcterms:W3CDTF">2015-08-28T04:51:00Z</dcterms:created>
  <dcterms:modified xsi:type="dcterms:W3CDTF">2015-08-28T04:51:00Z</dcterms:modified>
</cp:coreProperties>
</file>